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KrWaffGenV 2</w:t>
      </w:r>
    </w:p>
    <w:p>
      <w:r>
        <w:rPr>
          <w:color w:val="555555"/>
          <w:sz w:val="18"/>
        </w:rPr>
        <w:t xml:space="preserve">Zweite Verordnung über eine Allgemeine Genehmigung nach dem 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KrWaffGenV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