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KrWG — Vermischungsverbot und Behandlung gefährlicher Abfälle</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Die Vermischung, einschließlich der Verdünnung, gefährlicher Abfälle mit anderen Kategorien von gefährlichen Abfällen oder mit anderen Abfällen, Stoffen oder Materialien ist unzulässig.</w:t>
      </w:r>
    </w:p>
    <w:p>
      <w:r>
        <w:t xml:space="preserve">(2) Abweichend von Absatz 1 ist eine Vermischung ausnahmsweise zulässig, wenn</w:t>
      </w:r>
    </w:p>
    <w:p>
      <w:pPr>
        <w:ind w:left="420"/>
      </w:pPr>
      <w:r>
        <w:t xml:space="preserve">1. sie in einer nach diesem Gesetz oder nach dem Bundes-Immissionsschutzgesetz hierfür zugelassenen Anlage erfolgt,</w:t>
      </w:r>
    </w:p>
    <w:p>
      <w:pPr>
        <w:ind w:left="420"/>
      </w:pPr>
      <w:r>
        <w:t xml:space="preserve">2. die Anforderungen an eine ordnungsgemäße und schadlose Verwertung nach § 7 Absatz 3 eingehalten werden und schädliche Auswirkungen der Abfallbewirtschaftung auf Mensch und Umwelt durch die Vermischung nicht verstärkt werden und</w:t>
      </w:r>
    </w:p>
    <w:p>
      <w:pPr>
        <w:ind w:left="420"/>
      </w:pPr>
      <w:r>
        <w:t xml:space="preserve">3. das Vermischungsverfahren dem Stand der Technik entspricht.</w:t>
      </w:r>
    </w:p>
    <w:p>
      <w:r>
        <w:t xml:space="preserve">(3) Sind gefährliche Abfälle in unzulässiger Weise vermischt worden, sind die Erzeuger und Besitzer der Abfälle verpflichtet, diese unverzüglich zu trennen, soweit die Trennung zur ordnungsgemäßen und schadlosen Verwertung der Abfälle nach § 7 Absatz 3 erforderlich ist. Ist eine Trennung zum Zweck der ordnungsgemäßen und schadlosen Verwertung nicht erforderlich oder zwar erforderlich, aber technisch nicht möglich oder wirtschaftlich nicht zumutbar, sind die Erzeuger und Besitzer der gemischten Abfälle verpflichtet, diese unverzüglich in einer Anlage zu behandeln, die nach diesem Gesetz oder nach dem Bundes-Immissionsschutzgesetz hierfür zugelassen ist.</w:t>
      </w:r>
    </w:p>
    <w:p>
      <w:r>
        <w:rPr>
          <w:color w:val="555555"/>
          <w:sz w:val="17"/>
        </w:rPr>
        <w:t xml:space="preserve">Zitiervorschlag: § 9a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