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KrWG — Rangfolge und Hochwertigkeit der Verwertungsmaßnahmen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Erfüllung der Verwertungspflicht nach § 7 Absatz 2 Satz 1 hat diejenige der in § 6 Absatz 1 Nummer 2 bis 4 genannten Verwertungsmaßnahmen Vorrang, die den Schutz von Mensch und Umwelt nach der Art und Beschaffenheit des Abfalls unter Berücksichtigung der in § 6 Absatz 2 Satz 2 und 3 festgelegten Kriterien am besten gewährleistet. Zwischen mehreren gleichrangigen Verwertungsmaßnahmen besteht ein Wahlrecht des Erzeugers oder Besitzers von Abfällen. Bei der Ausgestaltung der nach Satz 1 oder 2 durchzuführenden Verwertungsmaßnahme ist eine den Schutz von Mensch und Umwelt am besten gewährleistende, hochwertige Verwertung anzustreben. § 7 Absatz 4 findet auf die Sätze 1 bis 3 entsprechende Anwendung.</w:t>
      </w:r>
    </w:p>
    <w:p>
      <w:r>
        <w:t xml:space="preserve">(2) Die Bundesregierung bestimmt nach Anhörung der beteiligten Kreise (§ 68) durch Rechtsverordnung mit Zustimmung des Bundesrates für bestimmte Abfallarten auf Grund der in § 6 Absatz 2 Satz 2 und 3 festgelegten Kriterien</w:t>
      </w:r>
    </w:p>
    <w:p>
      <w:pPr>
        <w:ind w:left="420"/>
      </w:pPr>
      <w:r>
        <w:t xml:space="preserve">1. den Vorrang oder Gleichrang einer Verwertungsmaßnahme und</w:t>
      </w:r>
    </w:p>
    <w:p>
      <w:pPr>
        <w:ind w:left="420"/>
      </w:pPr>
      <w:r>
        <w:t xml:space="preserve">2. Anforderungen an die Hochwertigkeit der Verwertung.</w:t>
      </w:r>
    </w:p>
    <w:p>
      <w:r>
        <w:t xml:space="preserve">Durch Rechtsverordnung nach Satz 1 kann insbesondere bestimmt werden, dass die Verwertung des Abfalls entsprechend seiner Art, Beschaffenheit, Menge und Inhaltsstoffe durch mehrfache, hintereinander geschaltete stoffliche und anschließende energetische Verwertungsmaßnahmen (Kaskadennutzung) zu erfolgen hat.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8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