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KrWG — Übergangsvorschrift</w:t>
      </w:r>
    </w:p>
    <w:p>
      <w:r>
        <w:rPr>
          <w:color w:val="555555"/>
          <w:sz w:val="18"/>
        </w:rPr>
        <w:t xml:space="preserve">Kreislaufwirtschaftsgesetz</w:t>
      </w:r>
    </w:p>
    <w:p>
      <w:r>
        <w:rPr>
          <w:color w:val="555555"/>
          <w:sz w:val="18"/>
        </w:rPr>
        <w:t xml:space="preserve">Stand: 03.07.2021 (konsolidierte Textfassung, kein amtliches Inkrafttretensdatum)</w:t>
      </w:r>
    </w:p>
    <w:p>
      <w:r>
        <w:t xml:space="preserve">(1) Pflichtenübertragungen nach § 16 Absatz 2, § 17 Absatz 3 oder § 18 Absatz 2 des Kreislaufwirtschafts- und Abfallgesetzes vom 27. September 1994 (BGBl. I S. 2705), das zuletzt durch Artikel 5 des Gesetzes vom 6. Oktober 2011 (BGBl. I S. 1986) geändert worden ist, gelten fort. Die zuständige Behörde kann bestehende Pflichtenübertragungen nach Maßgabe des § 13 Absatz 2 und der §§ 16 bis 18 des Kreislaufwirtschafts- und Abfallgesetzes vom 27. September 1994 (BGBl. I S. 2705), das zuletzt durch Artikel 5 des Gesetzes vom 6. Oktober 2011 (BGBl. I S. 1986) geändert worden ist, verlängern.</w:t>
      </w:r>
    </w:p>
    <w:p>
      <w:r>
        <w:t xml:space="preserve">(2) Für Verfahren zur Aufstellung von Abfallwirtschaftsplänen, die bis zum Ablauf des 5. Juli 2020 eingeleitet worden sind, ist § 30 des Kreislaufwirtschaftsgesetzes vom 24. Februar 2012 (BGBl. I S. 212) in der bis zum 28. Oktober 2020 geltenden Fassung anzuwenden. Für Verfahren zur Aufstellung von Abfallwirtschaftsplänen, die bis zum Ablauf des 3. Juli 2021 eingeleitet worden sind, ist § 30 des Kreislaufwirtschaftsgesetzes vom 24. Februar 2012 (BGBl. I S. 212) in der bis zum Ablauf des 3. Juli 2021 geltenden Fassung anzuwenden.</w:t>
      </w:r>
    </w:p>
    <w:p>
      <w:r>
        <w:t xml:space="preserve">(3) Eine Transportgenehmigung nach § 49 Absatz 1 des Kreislaufwirtschafts- und Abfallgesetzes vom 27. September 1994 (BGBl. I S. 2705), das zuletzt durch Artikel 5 des Gesetzes vom 6. Oktober 2011 (BGBl. I S. 1986) geändert worden ist, auch in Verbindung mit § 1 der Transportgenehmigungsverordnung vom 10. September 1996 (BGBl. I S. 1411; 1997 I S. 2861), die zuletzt durch Artikel 5 des Gesetzes vom 19. Juli 2007 (BGBl. I S. 1462) geändert worden ist, gilt bis zum Ende ihrer Befristung als Erlaubnis nach § 54 Absatz 1 fort.</w:t>
      </w:r>
    </w:p>
    <w:p>
      <w:r>
        <w:t xml:space="preserve">(4) Eine Genehmigung für Vermittlungsgeschäfte nach § 50 Absatz 1 des Kreislaufwirtschafts- und Abfallgesetzes vom 27. September 1994 (BGBl. I S. 2705), das zuletzt durch Artikel 5 des Gesetzes vom 6. Oktober 2011 (BGBl. I S. 1986) geändert worden ist, gilt bis zum Ende ihrer Befristung als Erlaubnis nach § 54 Absatz 1 fort.</w:t>
      </w:r>
    </w:p>
    <w:p>
      <w:r>
        <w:rPr>
          <w:color w:val="555555"/>
          <w:sz w:val="17"/>
        </w:rPr>
        <w:t xml:space="preserve">Zitiervorschlag: § 72 KrWG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https://recht.nulegal.eu/gesetze/KrWG/72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