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KrWG — Einziehung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69 Absatz 1 Nummer 2 bis 7 oder Nummer 8 begangen worden, so können Gegenstände eingezogen werden,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 ihrer Begehung oder Vorbereitung gebraucht worden oder bestimmt gewesen sind.</w:t>
      </w:r>
    </w:p>
    <w:p>
      <w:r>
        <w:t xml:space="preserve">§ 23 des Gesetzes über Ordnungswidrigkeiten ist anzuwenden.</w:t>
      </w:r>
    </w:p>
    <w:p>
      <w:r>
        <w:rPr>
          <w:color w:val="555555"/>
          <w:sz w:val="17"/>
        </w:rPr>
        <w:t xml:space="preserve">Zitiervorschlag: § 70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