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KrWG — Vollzug im Bereich der Bundeswehr</w:t>
      </w:r>
    </w:p>
    <w:p>
      <w:r>
        <w:rPr>
          <w:color w:val="555555"/>
          <w:sz w:val="18"/>
        </w:rPr>
        <w:t xml:space="preserve">Kreislaufwirtschaftsgesetz</w:t>
      </w:r>
    </w:p>
    <w:p>
      <w:r>
        <w:rPr>
          <w:color w:val="555555"/>
          <w:sz w:val="18"/>
        </w:rPr>
        <w:t xml:space="preserve">Stand: 29.10.2020 (konsolidierte Textfassung, kein amtliches Inkrafttretensdatum)</w:t>
      </w:r>
    </w:p>
    <w:p>
      <w:r>
        <w:t xml:space="preserve">(1) Im Geschäftsbereich des Bundesministeriums der Verteidigung obliegt der Vollzug des Gesetzes und der auf Grund dieses Gesetzes erlassenen Rechtsverordnungen für Material, das zur Verwendung für militärische Zwecke bestimmt ist, sowie für die Verwertung und Beseitigung militäreigentümlicher Abfälle sowie von Abfällen, für die ein besonderes militärisches Sicherheitsinteresse besteht, dem Bundesministerium der Verteidigung und den von ihm bestimmten Stellen.</w:t>
      </w:r>
    </w:p>
    <w:p>
      <w:r>
        <w:t xml:space="preserve">(2) Das Bundesministerium der Verteidigung wird ermächtigt, für Material, das zur Verwendung für militärische Zwecke bestimmt ist, sowie für die Verwertung oder die Beseitigung von Abfällen im Sinne des Absatzes 1 aus dem Bereich der Bundeswehr Ausnahmen von diesem Gesetz und den auf Grund dieses Gesetzes erlassenen Rechtsverordnungen zuzulassen, soweit zwingende Gründe der Verteidigung oder die Erfüllung zwischenstaatlicher Pflichten dies erfordern.</w:t>
      </w:r>
    </w:p>
    <w:p>
      <w:r>
        <w:rPr>
          <w:color w:val="555555"/>
          <w:sz w:val="17"/>
        </w:rPr>
        <w:t xml:space="preserve">Zitiervorschlag: § 66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