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63 KrWG — Geheimhaltung und Datenschutz</w:t>
      </w:r>
    </w:p>
    <w:p>
      <w:r>
        <w:rPr>
          <w:color w:val="555555"/>
          <w:sz w:val="18"/>
        </w:rPr>
        <w:t xml:space="preserve">Kreislaufwirtschaftsgesetz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Rechtsvorschriften über Geheimhaltung und Datenschutz bleiben unberührt.</w:t>
      </w:r>
    </w:p>
    <w:p>
      <w:r>
        <w:rPr>
          <w:color w:val="555555"/>
          <w:sz w:val="17"/>
        </w:rPr>
        <w:t xml:space="preserve">Zitiervorschlag: § 63 KrWG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https://recht.nulegal.eu/gesetze/KrWG/63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