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KrWG — Anforderungen an Erleichterungen für auditierte Unternehmensstandorte</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Bundesregierung wird ermächtigt, zur Förderung der privaten Eigenverantwortung für Standorte des Gemeinschaftssystems für das Umweltmanagement und die Umweltbetriebsprüfung (EMAS) durch Rechtsverordnung mit Zustimmung des Bundesrates Erleichterungen zum Inhalt der Antragsunterlagen in abfallrechtlichen Verfahren sowie überwachungsrechtliche Erleichterungen vorzusehen, soweit die entsprechenden Anforderungen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gleichwertig mit den Anforderungen sind, die zur Überwachung und zu den Antragsunterlagen nach diesem Gesetz oder den auf Grund dieses Gesetzes erlassenen Rechtsverordnungen vorgesehen sind oder soweit die Gleichwertigkeit durch die Rechtsverordnung nach dieser Vorschrift sichergestellt wird.</w:t>
      </w:r>
    </w:p>
    <w:p>
      <w:r>
        <w:t xml:space="preserve">(2) Durch Rechtsverordnung nach Absatz 1 können weitere Voraussetzungen für die Inanspruchnahme und die Rücknahme von Erleichterungen oder die vollständige oder teilweise Aussetzung von Erleichterungen für Fälle festgelegt werden, in denen die Voraussetzungen für deren Gewährung nicht mehr vorliegen.</w:t>
      </w:r>
    </w:p>
    <w:p>
      <w:r>
        <w:t xml:space="preserve">(3) Durch Rechtsverordnung nach Absatz 1 können ordnungsrechtliche Erleichterungen, insbesondere zu</w:t>
      </w:r>
    </w:p>
    <w:p>
      <w:pPr>
        <w:ind w:left="420"/>
      </w:pPr>
      <w:r>
        <w:t xml:space="preserve">1. Kalibrierungen, Ermittlungen, Prüfungen und Messungen,</w:t>
      </w:r>
    </w:p>
    <w:p>
      <w:pPr>
        <w:ind w:left="420"/>
      </w:pPr>
      <w:r>
        <w:t xml:space="preserve">2. Messberichten sowie sonstigen Berichten und Mitteilungen von Ermittlungsergebnissen,</w:t>
      </w:r>
    </w:p>
    <w:p>
      <w:pPr>
        <w:ind w:left="420"/>
      </w:pPr>
      <w:r>
        <w:t xml:space="preserve">3. Aufgaben des Betriebsbeauftragten für Abfall,</w:t>
      </w:r>
    </w:p>
    <w:p>
      <w:pPr>
        <w:ind w:left="420"/>
      </w:pPr>
      <w:r>
        <w:t xml:space="preserve">4. Mitteilungspflichten zur Betriebsorganisation und</w:t>
      </w:r>
    </w:p>
    <w:p>
      <w:pPr>
        <w:ind w:left="420"/>
      </w:pPr>
      <w:r>
        <w:t xml:space="preserve">5. der Häufigkeit der behördlichen Überwachung</w:t>
      </w:r>
    </w:p>
    <w:p>
      <w:r>
        <w:t xml:space="preserve">nur gewährt werden, wenn der Umweltgutachter oder die Umweltgutachterorganisation im Sinne des Umweltauditgesetzes die Einhaltung der Umweltvorschriften geprüft hat, keine Abweichungen festgestellt hat und dies in der Validierung bescheinigt.</w:t>
      </w:r>
    </w:p>
    <w:p>
      <w:r>
        <w:t xml:space="preserve">(4) Durch Rechtsverordnung nach Absatz 1 können unter den dort genannten Voraussetzungen Erleichterungen im Genehmigungsverfahren sowie überwachungsrechtliche Erleichterungen für Entsorgungsfachbetriebe gewährt werden.</w:t>
      </w:r>
    </w:p>
    <w:p>
      <w:r>
        <w:rPr>
          <w:color w:val="555555"/>
          <w:sz w:val="17"/>
        </w:rPr>
        <w:t xml:space="preserve">Zitiervorschlag: § 61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