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KrWG — Abfallhierarchie</w:t>
      </w:r>
    </w:p>
    <w:p>
      <w:r>
        <w:rPr>
          <w:color w:val="555555"/>
          <w:sz w:val="18"/>
        </w:rPr>
        <w:t xml:space="preserve">Kreislaufwirtschaftsgesetz</w:t>
      </w:r>
    </w:p>
    <w:p>
      <w:r>
        <w:rPr>
          <w:color w:val="555555"/>
          <w:sz w:val="18"/>
        </w:rPr>
        <w:t xml:space="preserve">Stand: 29.10.2020 (konsolidierte Textfassung, kein amtliches Inkrafttretensdatum)</w:t>
      </w:r>
    </w:p>
    <w:p>
      <w:r>
        <w:t xml:space="preserve">(1) Maßnahmen der Vermeidung und der Abfallbewirtschaftung stehen in folgender Rangfolge:</w:t>
      </w:r>
    </w:p>
    <w:p>
      <w:pPr>
        <w:ind w:left="420"/>
      </w:pPr>
      <w:r>
        <w:t xml:space="preserve">1. Vermeidung,</w:t>
      </w:r>
    </w:p>
    <w:p>
      <w:pPr>
        <w:ind w:left="420"/>
      </w:pPr>
      <w:r>
        <w:t xml:space="preserve">2. Vorbereitung zur Wiederverwendung,</w:t>
      </w:r>
    </w:p>
    <w:p>
      <w:pPr>
        <w:ind w:left="420"/>
      </w:pPr>
      <w:r>
        <w:t xml:space="preserve">3. Recycling,</w:t>
      </w:r>
    </w:p>
    <w:p>
      <w:pPr>
        <w:ind w:left="420"/>
      </w:pPr>
      <w:r>
        <w:t xml:space="preserve">4. sonstige Verwertung, insbesondere energetische Verwertung und Verfüllung,</w:t>
      </w:r>
    </w:p>
    <w:p>
      <w:pPr>
        <w:ind w:left="420"/>
      </w:pPr>
      <w:r>
        <w:t xml:space="preserve">5. Beseitigung.</w:t>
      </w:r>
    </w:p>
    <w:p>
      <w:r>
        <w:t xml:space="preserve">(2) Ausgehend von der Rangfolge nach Absatz 1 soll nach Maßgabe der §§ 7 und 8 diejenige Maßnahme Vorrang haben, die den Schutz von Mensch und Umwelt bei der Erzeugung und Bewirtschaftung von Abfällen unter Berücksichtigung des Vorsorge- und Nachhaltigkeitsprinzips am besten gewährleistet. Für die Betrachtung der Auswirkungen auf Mensch und Umwelt nach Satz 1 ist der gesamte Lebenszyklus des Abfalls zugrunde zu legen. Hierbei sind insbesondere zu berücksichtigen</w:t>
      </w:r>
    </w:p>
    <w:p>
      <w:pPr>
        <w:ind w:left="420"/>
      </w:pPr>
      <w:r>
        <w:t xml:space="preserve">1. die zu erwartenden Emissionen,</w:t>
      </w:r>
    </w:p>
    <w:p>
      <w:pPr>
        <w:ind w:left="420"/>
      </w:pPr>
      <w:r>
        <w:t xml:space="preserve">2. das Maß der Schonung der natürlichen Ressourcen,</w:t>
      </w:r>
    </w:p>
    <w:p>
      <w:pPr>
        <w:ind w:left="420"/>
      </w:pPr>
      <w:r>
        <w:t xml:space="preserve">3. die einzusetzende oder zu gewinnende Energie sowie</w:t>
      </w:r>
    </w:p>
    <w:p>
      <w:pPr>
        <w:ind w:left="420"/>
      </w:pPr>
      <w:r>
        <w:t xml:space="preserve">4. die Anreicherung von Schadstoffen in Erzeugnissen, in Abfällen zur Verwertung oder in daraus gewonnenen Erzeugnissen.</w:t>
      </w:r>
    </w:p>
    <w:p>
      <w:r>
        <w:t xml:space="preserve">Die technische Möglichkeit, die wirtschaftliche Zumutbarkeit und die sozialen Folgen der Maßnahme sind zu beachten.</w:t>
      </w:r>
    </w:p>
    <w:p>
      <w:r>
        <w:t xml:space="preserve">(3) Die Anlage 5 enthält eine nicht abschließende Liste von Beispielen für Maßnahmen und wirtschaftliche Instrumente zur Schaffung von Anreizen für die Anwendung der Abfallhierarchie von Verwertungsverfahren.</w:t>
      </w:r>
    </w:p>
    <w:p>
      <w:r>
        <w:rPr>
          <w:color w:val="555555"/>
          <w:sz w:val="17"/>
        </w:rPr>
        <w:t xml:space="preserve">Zitiervorschlag: § 6 KrWG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https://recht.nulegal.eu/gesetze/KrWG/6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