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KrWG — Anforderungen an Entsorgungsfachbetriebe, technische Überwachungsorganisationen und Entsorgergemeinschaften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Die Bundesregierung wird ermächtigt, nach Anhörung der beteiligten Kreise (§ 68) durch Rechtsverordnung mit Zustimmung des Bundesrates Anforderungen an Entsorgungsfachbetriebe, technische Überwachungsorganisationen und Entsorgergemeinschaften zu bestimmen. In der Rechtsverordnung können insbesondere</w:t>
      </w:r>
    </w:p>
    <w:p>
      <w:pPr>
        <w:ind w:left="420"/>
      </w:pPr>
      <w:r>
        <w:t xml:space="preserve">1. Anforderungen an die Organisation, die personelle, gerätetechnische und sonstige Ausstattung und die Tätigkeit eines Entsorgungsfachbetriebes bestimmt sowie ein ausreichender Haftpflichtversicherungsschutz gefordert werden,</w:t>
      </w:r>
    </w:p>
    <w:p>
      <w:pPr>
        <w:ind w:left="420"/>
      </w:pPr>
      <w:r>
        <w:t xml:space="preserve">2. Anforderungen an den Inhaber und die im Entsorgungsfachbetrieb beschäftigten Personen, insbesondere Mindestanforderungen an die Fach- und Sachkunde und die Zuverlässigkeit sowie an deren Nachweis, bestimmt werden,</w:t>
      </w:r>
    </w:p>
    <w:p>
      <w:pPr>
        <w:ind w:left="420"/>
      </w:pPr>
      <w:r>
        <w:t xml:space="preserve">3. Anforderungen an die Tätigkeit der technischen Überwachungsorganisationen, insbesondere Mindestanforderungen an den Überwachungsvertrag sowie dessen Abschluss, Durchführung, Auflösung und Erlöschen, bestimmt werden,</w:t>
      </w:r>
    </w:p>
    <w:p>
      <w:pPr>
        <w:ind w:left="420"/>
      </w:pPr>
      <w:r>
        <w:t xml:space="preserve">4. Anforderungen an die Tätigkeit der Entsorgergemeinschaften, insbesondere an deren Bildung, Auflösung, Organisation und Arbeitsweise, einschließlich der Bestellung, Aufgaben und Befugnisse der Prüforgane sowie Mindestanforderungen an die Mitglieder dieser Prüforgane, bestimmt werden,</w:t>
      </w:r>
    </w:p>
    <w:p>
      <w:pPr>
        <w:ind w:left="420"/>
      </w:pPr>
      <w:r>
        <w:t xml:space="preserve">5. Mindestanforderungen an die für die technischen Überwachungsorganisationen oder für die Entsorgergemeinschaften tätigen Sachverständigen sowie deren Bestellung, Tätigkeit und Kontrolle bestimmt werden,</w:t>
      </w:r>
    </w:p>
    <w:p>
      <w:pPr>
        <w:ind w:left="420"/>
      </w:pPr>
      <w:r>
        <w:t xml:space="preserve">6. Anforderungen an das Überwachungszeichen und das zugrunde liegende Zertifikat, insbesondere an die Form und den Inhalt, sowie Anforderungen an ihre Erteilung, ihre Aufhebung, ihr Erlöschen und ihren Entzug bestimmt werden,</w:t>
      </w:r>
    </w:p>
    <w:p>
      <w:pPr>
        <w:ind w:left="420"/>
      </w:pPr>
      <w:r>
        <w:t xml:space="preserve">7. die besonderen Voraussetzungen, das Verfahren, die Erteilung und Aufhebung</w:t>
      </w:r>
    </w:p>
    <w:p>
      <w:pPr>
        <w:ind w:left="780"/>
      </w:pPr>
      <w:r>
        <w:t xml:space="preserve">a) der Zustimmung zum Überwachungsvertrag durch die zuständige Behörde geregelt werden sowie</w:t>
      </w:r>
    </w:p>
    <w:p>
      <w:pPr>
        <w:ind w:left="780"/>
      </w:pPr>
      <w:r>
        <w:t xml:space="preserve">b) der Anerkennung der Entsorgergemeinschaften durch die zuständige Behörde geregelt werden; dabei kann die Anerkennung der Entsorgergemeinschaften bei drohenden Beschränkungen des Wettbewerbes widerrufen werden,</w:t>
      </w:r>
    </w:p>
    <w:p>
      <w:pPr>
        <w:ind w:left="420"/>
      </w:pPr>
      <w:r>
        <w:t xml:space="preserve">8. die näheren Anforderungen an den Entzug des Zertifikats und der Berechtigung zum Führen des Überwachungszeichens sowie an die Untersagung der sonstigen weiteren Verwendung der Bezeichnung „Entsorgungsfachbetrieb“ durch die zuständige Behörde nach § 56 Absatz 8 Satz 2 bestimmt werden sowie</w:t>
      </w:r>
    </w:p>
    <w:p>
      <w:pPr>
        <w:ind w:left="420"/>
      </w:pPr>
      <w:r>
        <w:t xml:space="preserve">9. für die erforderlichen Erklärungen, Nachweise, Benachrichtigungen oder sonstigen Daten die elektronische Führung und die Vorlage von Dokumenten in elektronischer Form gemäß § 3a Absatz 2 Satz 2 und 3 des Verwaltungsverfahrensgesetzes angeordnet werden.</w:t>
      </w:r>
    </w:p>
    <w:p>
      <w:r>
        <w:rPr>
          <w:color w:val="555555"/>
          <w:sz w:val="17"/>
        </w:rPr>
        <w:t xml:space="preserve">Zitiervorschlag: § 57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