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KrWG — Sammler, Beförderer, Händler und Makler von gefährlichen Abfällen</w:t>
      </w:r>
    </w:p>
    <w:p>
      <w:r>
        <w:rPr>
          <w:color w:val="555555"/>
          <w:sz w:val="18"/>
        </w:rPr>
        <w:t xml:space="preserve">Kreislaufwirtschaftsgesetz</w:t>
      </w:r>
    </w:p>
    <w:p>
      <w:r>
        <w:rPr>
          <w:color w:val="555555"/>
          <w:sz w:val="18"/>
        </w:rPr>
        <w:t xml:space="preserve">Stand: 10.06.2019 (konsolidierte Textfassung, kein amtliches Inkrafttretensdatum)</w:t>
      </w:r>
    </w:p>
    <w:p>
      <w:r>
        <w:t xml:space="preserve">(1) Sammler, Beförderer, Händler und Makler von gefährlichen Abfällen bedürfen der Erlaubnis. Die zuständige Behörde hat die Erlaubnis zu erteilen, wenn</w:t>
      </w:r>
    </w:p>
    <w:p>
      <w:pPr>
        <w:ind w:left="420"/>
      </w:pPr>
      <w:r>
        <w:t xml:space="preserve">1. keine Tatsachen bekannt sind, aus denen sich Bedenken gegen die Zuverlässigkeit des Inhabers oder der für die Leitung und Beaufsichtigung des Betriebes verantwortlichen Personen ergeben, sowie</w:t>
      </w:r>
    </w:p>
    <w:p>
      <w:pPr>
        <w:ind w:left="420"/>
      </w:pPr>
      <w:r>
        <w:t xml:space="preserve">2. der Inhaber, soweit er für die Leitung des Betriebes verantwortlich ist, die für die Leitung und Beaufsichtigung des Betriebes verantwortlichen Personen und das sonstige Personal über die für ihre Tätigkeit notwendige Fach- und Sachkunde verfügen.</w:t>
      </w:r>
    </w:p>
    <w:p>
      <w:r>
        <w:t xml:space="preserve">Zuständig ist die Behörde des Landes, in dem der Antragsteller seinen Hauptsitz hat. Die Erlaubnis nach Satz 1 gilt für die Bundesrepublik Deutschland.</w:t>
      </w:r>
    </w:p>
    <w:p>
      <w:r>
        <w:t xml:space="preserve">(2) Die zuständige Behörde kann die Erlaubnis mit Nebenbestimmungen versehen, soweit dies zur Wahrung des Wohls der Allgemeinheit erforderlich ist.</w:t>
      </w:r>
    </w:p>
    <w:p>
      <w:r>
        <w:t xml:space="preserve">(3) Von der Erlaubnispflicht nach Absatz 1 Satz 1 ausgenommen sind</w:t>
      </w:r>
    </w:p>
    <w:p>
      <w:pPr>
        <w:ind w:left="420"/>
      </w:pPr>
      <w:r>
        <w:t xml:space="preserve">1. öffentlich-rechtliche Entsorgungsträger sowie</w:t>
      </w:r>
    </w:p>
    <w:p>
      <w:pPr>
        <w:ind w:left="420"/>
      </w:pPr>
      <w:r>
        <w:t xml:space="preserve">2. Entsorgungsfachbetriebe im Sinne von § 56, soweit sie für die erlaubnispflichtige Tätigkeit zertifiziert sind.</w:t>
      </w:r>
    </w:p>
    <w:p>
      <w:r>
        <w:t xml:space="preserve">(4) Erlaubnisse aus einem anderen Mitgliedstaat der Europäischen Union oder einem anderen Vertragsstaat des Abkommens über den Europäischen Wirtschaftsraum stehen Erlaubnissen nach Absatz 1 Satz 1 gleich, soweit sie ihnen gleichwertig sind. Bei der Prüfung des Antrags auf Erlaubnis nach Absatz 1 Satz 1 stehen Nachweise aus einem anderen Mitgliedstaat der Europäischen Union oder einem anderen Vertragsstaat des Abkommens über den Europäischen Wirtschaftsraum inländischen Nachweisen gleich, wenn aus ihnen hervorgeht, dass der Antragsteller die betreffenden Anforderungen des Absatzes 1 Satz 2 oder die auf Grund ihrer Zielsetzung im Wesentlichen vergleichbaren Anforderungen des Ausstellungsstaates erfüllt. Unterlagen über die gleichwertige Erlaubnis nach Satz 1 und sonstige Nachweise nach Satz 2 sind der zuständigen Behörde vor Aufnahme der Tätigkeit im Original oder in Kopie vorzulegen. Eine Beglaubigung der Kopie sowie eine beglaubigte deutsche Übersetzung können verlangt werden.</w:t>
      </w:r>
    </w:p>
    <w:p>
      <w:r>
        <w:t xml:space="preserve">(5) Hinsichtlich der Überprüfung der erforderlichen Fach- und Sachkunde nach Absatz 1 Satz 2 Nummer 2 eines Antragstellers aus einem anderen Mitgliedstaat der Europäischen Union oder einem anderen Vertragsstaat des Abkommens über den Europäischen Wirtschaftsraum gilt § 36a Absatz 1 Satz 2, Absatz 2 und 4 Satz 4 der Gewerbeordnung entsprechend; bei vorübergehender und nur gelegentlicher Tätigkeit eines in einem anderen Mitgliedstaat der Europäischen Union oder in einem anderen Vertragsstaat des Abkommens über den Europäischen Wirtschaftsraum niedergelassenen Dienstleistungserbringers gilt hinsichtlich der erforderlichen Fach- und Sachkunde § 13a Absatz 2 Satz 2 bis 5 und Absatz 3 der Gewerbeordnung entsprechend.</w:t>
      </w:r>
    </w:p>
    <w:p>
      <w:r>
        <w:t xml:space="preserve">(6) Erlaubnisverfahren nach Absatz 1 und 4 können über eine einheitliche Stelle abgewickelt werden. § 42a des Verwaltungsverfahrensgesetzes findet für das Verfahren nach den Absätzen 1 und 4 Anwendung, sofern der Antragsteller Staatsangehöriger eines Mitgliedstaates der Europäischen Union oder eines anderen Vertragsstaates des Abkommens über den Europäischen Wirtschaftsraum ist oder als juristische Person in einem dieser Staaten seinen Sitz hat.</w:t>
      </w:r>
    </w:p>
    <w:p>
      <w:r>
        <w:t xml:space="preserve">(7) Die Bundesregierung wird ermächtigt, nach Anhörung der beteiligten Kreise (§ 68) durch Rechtsverordnung mit Zustimmung des Bundesrates für die Erlaubnispflicht und Tätigkeit der Sammler, Beförderer, Händler und Makler von gefährlichen Abfällen, für Sammler und Beförderer von gefährlichen Abfällen, insbesondere unter Berücksichtigung der Besonderheiten der jeweiligen Verkehrsträger, Verkehrswege oder Beförderungsart,</w:t>
      </w:r>
    </w:p>
    <w:p>
      <w:pPr>
        <w:ind w:left="420"/>
      </w:pPr>
      <w:r>
        <w:t xml:space="preserve">1. Vorschriften zu erlassen über die Antragsunterlagen, die Form, den Inhalt und das Verfahren zur Erteilung der Erlaubnis, die Anforderungen an die Zuverlässigkeit, Fach- und Sachkunde sowie deren Nachweis, die Fristen, nach denen das Vorliegen der Voraussetzungen erneut zu überprüfen ist,</w:t>
      </w:r>
    </w:p>
    <w:p>
      <w:pPr>
        <w:ind w:left="420"/>
      </w:pPr>
      <w:r>
        <w:t xml:space="preserve">2. anzuordnen, dass das Erlaubnisverfahren elektronisch zu führen ist und Dokumente in elektronischer Form gemäß § 3a Absatz 2 Satz 2 und 3 des Verwaltungsverfahrensgesetzes vorzulegen sind,</w:t>
      </w:r>
    </w:p>
    <w:p>
      <w:pPr>
        <w:ind w:left="420"/>
      </w:pPr>
      <w:r>
        <w:t xml:space="preserve">3. bestimmte Tätigkeiten von der Erlaubnispflicht nach Absatz 1 auszunehmen, soweit eine Erlaubnis aus Gründen des Wohls der Allgemeinheit nicht erforderlich ist,</w:t>
      </w:r>
    </w:p>
    <w:p>
      <w:pPr>
        <w:ind w:left="420"/>
      </w:pPr>
      <w:r>
        <w:t xml:space="preserve">4. Anforderungen an die Erlaubnispflichtigen und deren Tätigkeit zu bestimmen, die sich aus Rechtsvorschriften der Europäischen Union ergeben, sowie</w:t>
      </w:r>
    </w:p>
    <w:p>
      <w:pPr>
        <w:ind w:left="420"/>
      </w:pPr>
      <w:r>
        <w:t xml:space="preserve">5. anzuordnen, dass bei der Beförderung von Abfällen geeignete Unterlagen zum Zweck der Überwachung mitzuführen sind.</w:t>
      </w:r>
    </w:p>
    <w:p>
      <w:r>
        <w:rPr>
          <w:color w:val="555555"/>
          <w:sz w:val="17"/>
        </w:rPr>
        <w:t xml:space="preserve">Zitiervorschlag: § 54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