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KrWG — Nachweispflichten</w:t>
      </w:r>
    </w:p>
    <w:p>
      <w:r>
        <w:rPr>
          <w:color w:val="555555"/>
          <w:sz w:val="18"/>
        </w:rPr>
        <w:t xml:space="preserve">Kreislaufwirtschaftsgesetz</w:t>
      </w:r>
    </w:p>
    <w:p>
      <w:r>
        <w:rPr>
          <w:color w:val="555555"/>
          <w:sz w:val="18"/>
        </w:rPr>
        <w:t xml:space="preserve">Stand: 10.06.2019 (konsolidierte Textfassung, kein amtliches Inkrafttretensdatum)</w:t>
      </w:r>
    </w:p>
    <w:p>
      <w:r>
        <w:t xml:space="preserve">(1) Die Erzeuger, Besitzer, Sammler, Beförderer und Entsorger von gefährlichen Abfällen haben sowohl der zuständigen Behörde gegenüber als auch untereinander die ordnungsgemäße Entsorgung gefährlicher Abfälle nachzuweisen. Der Nachweis wird geführt</w:t>
      </w:r>
    </w:p>
    <w:p>
      <w:pPr>
        <w:ind w:left="420"/>
      </w:pPr>
      <w:r>
        <w:t xml:space="preserve">1. vor Beginn der Entsorgung in Form einer Erklärung des Erzeugers, Besitzers, Sammlers oder Beförderers von Abfällen zur vorgesehenen Entsorgung, einer Annahmeerklärung des Abfallentsorgers sowie der Bestätigung der Zulässigkeit der vorgesehenen Entsorgung durch die zuständige Behörde und</w:t>
      </w:r>
    </w:p>
    <w:p>
      <w:pPr>
        <w:ind w:left="420"/>
      </w:pPr>
      <w:r>
        <w:t xml:space="preserve">2. über die durchgeführte Entsorgung oder Teilabschnitte der Entsorgung in Form von Erklärungen der nach Satz 1 Verpflichteten über den Verbleib der entsorgten Abfälle.</w:t>
      </w:r>
    </w:p>
    <w:p>
      <w:r>
        <w:t xml:space="preserve">(2) Die Nachweispflichten nach Absatz 1 gelten nicht für die Entsorgung gefährlicher Abfälle, welche die Erzeuger oder Besitzer von Abfällen in eigenen Abfallentsorgungsanlagen entsorgen, wenn diese Entsorgungsanlagen in einem engen räumlichen und betrieblichen Zusammenhang mit den Anlagen oder Stellen stehen, in denen die zu entsorgenden Abfälle angefallen sind. Die Registerpflichten nach § 49 bleiben unberührt.</w:t>
      </w:r>
    </w:p>
    <w:p>
      <w:r>
        <w:t xml:space="preserve">(3) Die Nachweispflichten nach Absatz 1 gelten nicht bis zum Abschluss der Rücknahme oder Rückgabe von Erzeugnissen oder der nach Gebrauch der Erzeugnisse verbleibenden gefährlichen Abfälle, die einer verordneten Rücknahme oder Rückgabe nach § 25 unterliegen. Eine Rücknahme oder Rückgabe von Erzeugnissen und der nach Gebrauch der Erzeugnisse verbleibenden Abfälle gilt spätestens mit der Annahme an einer Anlage zur weiteren Entsorgung, ausgenommen Anlagen zur Zwischenlagerung der Abfälle, als abgeschlossen, soweit die Rechtsverordnung, welche die Rückgabe oder Rücknahme anordnet, keinen früheren Zeitpunkt bestimmt.</w:t>
      </w:r>
    </w:p>
    <w:p>
      <w:r>
        <w:t xml:space="preserve">(4) Die Nachweispflichten nach Absatz 1 gelten nicht für private Haushaltungen.</w:t>
      </w:r>
    </w:p>
    <w:p>
      <w:r>
        <w:rPr>
          <w:color w:val="555555"/>
          <w:sz w:val="17"/>
        </w:rPr>
        <w:t xml:space="preserve">Zitiervorschlag: § 50 KrWG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https://recht.nulegal.eu/gesetze/KrWG/50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