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KrWG — Ende der Abfalleigenschaft</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Die Abfalleigenschaft eines Stoffes oder Gegenstandes endet, wenn dieser ein Recycling oder ein anderes Verwertungsverfahren durchlaufen hat und so beschaffen ist, dass</w:t>
      </w:r>
    </w:p>
    <w:p>
      <w:pPr>
        <w:ind w:left="420"/>
      </w:pPr>
      <w:r>
        <w:t xml:space="preserve">1. er üblicherweise für bestimmte Zwecke verwendet wird,</w:t>
      </w:r>
    </w:p>
    <w:p>
      <w:pPr>
        <w:ind w:left="420"/>
      </w:pPr>
      <w:r>
        <w:t xml:space="preserve">2. ein Markt für ihn oder eine Nachfrage nach ihm besteht,</w:t>
      </w:r>
    </w:p>
    <w:p>
      <w:pPr>
        <w:ind w:left="420"/>
      </w:pPr>
      <w:r>
        <w:t xml:space="preserve">3. er alle für seine jeweilige Zweckbestimmung geltenden technischen Anforderungen sowie alle Rechtsvorschriften und anwendbaren Normen für Erzeugnisse erfüllt sowie</w:t>
      </w:r>
    </w:p>
    <w:p>
      <w:pPr>
        <w:ind w:left="420"/>
      </w:pPr>
      <w:r>
        <w:t xml:space="preserve">4. seine Verwendung insgesamt nicht zu schädlichen Auswirkungen auf Mensch oder Umwelt führt.</w:t>
      </w:r>
    </w:p>
    <w:p>
      <w:r>
        <w:t xml:space="preserve">(2) Die Bundesregierung wird ermächtigt, nach Anhörung der beteiligten Kreise (§ 68) durch Rechtsverordnung mit Zustimmung des Bundesrates nach Maßgabe der in Absatz 1 genannten Anforderungen die Bedingungen näher zu bestimmen, unter denen für bestimmte Stoffe und Gegenstände die Abfalleigenschaft endet. Diese Bedingungen müssen ein hohes Maß an Schutz für Mensch und Umwelt sicherstellen und die umsichtige, sparsame und effiziente Verwendung der natürlichen Ressourcen ermöglichen. In der Rechtsverordnung ist insbesondere zu bestimmen:</w:t>
      </w:r>
    </w:p>
    <w:p>
      <w:pPr>
        <w:ind w:left="420"/>
      </w:pPr>
      <w:r>
        <w:t xml:space="preserve">1. welche Abfälle der Verwertung zugeführt werden dürfen,</w:t>
      </w:r>
    </w:p>
    <w:p>
      <w:pPr>
        <w:ind w:left="420"/>
      </w:pPr>
      <w:r>
        <w:t xml:space="preserve">2. welche Behandlungsverfahren und -methoden zulässig sind,</w:t>
      </w:r>
    </w:p>
    <w:p>
      <w:pPr>
        <w:ind w:left="420"/>
      </w:pPr>
      <w:r>
        <w:t xml:space="preserve">3. die Qualitätskriterien, soweit erforderlich auch Schadstoffgrenzwerte, für Stoffe und Gegenstände im Sinne des Absatzes 1; die Qualitätskriterien müssen im Einklang mit den geltenden technischen Anforderungen, Rechtsvorschriften oder Normen für Erzeugnisse stehen,</w:t>
      </w:r>
    </w:p>
    <w:p>
      <w:pPr>
        <w:ind w:left="420"/>
      </w:pPr>
      <w:r>
        <w:t xml:space="preserve">4. die Anforderungen an Managementsysteme, mit denen die Einhaltung der Kriterien für das Ende der Abfalleigenschaft nachgewiesen wird, einschließlich der Anforderungen</w:t>
      </w:r>
    </w:p>
    <w:p>
      <w:pPr>
        <w:ind w:left="780"/>
      </w:pPr>
      <w:r>
        <w:t xml:space="preserve">a) an die Qualitätskontrolle und die Eigenüberwachung und</w:t>
      </w:r>
    </w:p>
    <w:p>
      <w:pPr>
        <w:ind w:left="780"/>
      </w:pPr>
      <w:r>
        <w:t xml:space="preserve">b) an eine Akkreditierung oder sonstige Form der Fremdüberwachung der Managementsysteme, soweit dies erforderlich ist, sowie</w:t>
      </w:r>
    </w:p>
    <w:p>
      <w:pPr>
        <w:ind w:left="420"/>
      </w:pPr>
      <w:r>
        <w:t xml:space="preserve">5. das Erfordernis und die Inhalte einer Konformitätserklärung.</w:t>
      </w:r>
    </w:p>
    <w:p>
      <w:r>
        <w:rPr>
          <w:color w:val="555555"/>
          <w:sz w:val="17"/>
        </w:rPr>
        <w:t xml:space="preserve">Zitiervorschlag: § 5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