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KrWG — Abfallbezeichnung, gefährliche Abfälle</w:t>
      </w:r>
    </w:p>
    <w:p>
      <w:r>
        <w:rPr>
          <w:color w:val="555555"/>
          <w:sz w:val="18"/>
        </w:rPr>
        <w:t xml:space="preserve">Kreislaufwirtschaftsgesetz</w:t>
      </w:r>
    </w:p>
    <w:p>
      <w:r>
        <w:rPr>
          <w:color w:val="555555"/>
          <w:sz w:val="18"/>
        </w:rPr>
        <w:t xml:space="preserve">Stand: 10.06.2019 (konsolidierte Textfassung, kein amtliches Inkrafttretensdatum)</w:t>
      </w:r>
    </w:p>
    <w:p>
      <w:r>
        <w:t xml:space="preserve">An die Entsorgung sowie die Überwachung gefährlicher Abfälle sind nach Maßgabe dieses Gesetzes besondere Anforderungen zu stellen. Zur Umsetzung von Rechtsakten der Europäischen Union wird die Bundesregierung ermächtigt, nach Anhörung der beteiligten Kreise (§ 68) durch Rechtsverordnung mit Zustimmung des Bundesrates die Bezeichnung von Abfällen sowie gefährliche Abfälle zu bestimmen und die Bestimmung gefährlicher Abfälle durch die zuständige Behörde im Einzelfall zuzulassen.</w:t>
      </w:r>
    </w:p>
    <w:p>
      <w:r>
        <w:rPr>
          <w:color w:val="555555"/>
          <w:sz w:val="17"/>
        </w:rPr>
        <w:t xml:space="preserve">Zitiervorschlag: § 48 KrWG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