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KrWG — Abfallberatungspflicht</w:t>
      </w:r>
    </w:p>
    <w:p>
      <w:r>
        <w:rPr>
          <w:color w:val="555555"/>
          <w:sz w:val="18"/>
        </w:rPr>
        <w:t xml:space="preserve">Kreislaufwirtschaftsgesetz</w:t>
      </w:r>
    </w:p>
    <w:p>
      <w:r>
        <w:rPr>
          <w:color w:val="555555"/>
          <w:sz w:val="18"/>
        </w:rPr>
        <w:t xml:space="preserve">Stand: 03.07.2021 (konsolidierte Textfassung, kein amtliches Inkrafttretensdatum)</w:t>
      </w:r>
    </w:p>
    <w:p>
      <w:r>
        <w:t xml:space="preserve">(1) Die öffentlich-rechtlichen Entsorgungsträger im Sinne des § 20 sind im Rahmen der ihnen übertragenen Aufgaben in Selbstverwaltung zur Information und Beratung über Möglichkeiten der Vermeidung, Verwertung und Beseitigung von Abfällen verpflichtet. Zur Beratung verpflichtet sind auch die Industrie- und Handelskammern, Handwerkskammern und Landwirtschaftskammern.</w:t>
      </w:r>
    </w:p>
    <w:p>
      <w:r>
        <w:t xml:space="preserve">(2) Für die Beratung über Möglichkeiten der Abfallvermeidung sind insbesondere die in § 33 Absatz 3 Nummer 2 genannten Vermeidungsmaßnahmen und die Festlegungen des geltenden Abfallvermeidungsprogramms des Bundes und des jeweiligen Landes zugrunde zu legen. Bei der Beratung ist insbesondere hinzuweisen auf</w:t>
      </w:r>
    </w:p>
    <w:p>
      <w:pPr>
        <w:ind w:left="420"/>
      </w:pPr>
      <w:r>
        <w:t xml:space="preserve">1. die Einrichtungen des öffentlich-rechtlichen Entsorgungsträgers und, soweit möglich, auf die Einrichtungen sonstiger natürlicher oder juristischer Personen, durch die Erzeugnisse, die kein Abfall sind, erfasst und einer Wiederverwendung zugeführt werden, und</w:t>
      </w:r>
    </w:p>
    <w:p>
      <w:pPr>
        <w:ind w:left="420"/>
      </w:pPr>
      <w:r>
        <w:t xml:space="preserve">2. die Verfügbarkeit von Mehrwegprodukten, insbesondere als Alternative zu den Einwegkunststoffprodukten nach Artikel 3 Nummer 2 der Richtlinie (EU) 2019/904.</w:t>
      </w:r>
    </w:p>
    <w:p>
      <w:r>
        <w:t xml:space="preserve">(3) Im Rahmen der Beratung über die Abfallverwertung ist insbesondere auf die Pflicht zur getrennten Sammlung von Abfällen und die Rücknahmepflichten hinzuweisen. Die Beratung umfasst auch</w:t>
      </w:r>
    </w:p>
    <w:p>
      <w:pPr>
        <w:ind w:left="420"/>
      </w:pPr>
      <w:r>
        <w:t xml:space="preserve">1. die Beratung über die möglichst ressourcenschonende Bereitstellung von Sperrmüll,</w:t>
      </w:r>
    </w:p>
    <w:p>
      <w:pPr>
        <w:ind w:left="420"/>
      </w:pPr>
      <w:r>
        <w:t xml:space="preserve">2. die Information über die Auswirkungen einer Vermüllung oder einer sonstigen nicht ordnungsgemäßen Verwertung und Beseitigung von Abfällen auf die Umwelt, insbesondere die Meeresumwelt, und die Beratung über Maßnahmen zur Vermeidung dieser Vermüllung sowie</w:t>
      </w:r>
    </w:p>
    <w:p>
      <w:pPr>
        <w:ind w:left="420"/>
      </w:pPr>
      <w:r>
        <w:t xml:space="preserve">3. die Information über die Auswirkungen einer nicht ordnungsgemäßen Verwertung und Beseitigung von Abfällen auf Abwasseranlagen.</w:t>
      </w:r>
    </w:p>
    <w:p>
      <w:r>
        <w:t xml:space="preserve">(4) Die zuständige Behörde hat den nach diesem Gesetz zur Beseitigung Verpflichteten Auskunft über geeignete Abfallbeseitigungsanlagen zu erteilen.</w:t>
      </w:r>
    </w:p>
    <w:p>
      <w:r>
        <w:rPr>
          <w:color w:val="555555"/>
          <w:sz w:val="17"/>
        </w:rPr>
        <w:t xml:space="preserve">Zitiervorschlag: § 46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