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KrWG — Pflichten der öffentlichen Hand</w:t>
      </w:r>
    </w:p>
    <w:p>
      <w:r>
        <w:rPr>
          <w:color w:val="555555"/>
          <w:sz w:val="18"/>
        </w:rPr>
        <w:t xml:space="preserve">Kreislaufwirtschaftsgesetz</w:t>
      </w:r>
    </w:p>
    <w:p>
      <w:r>
        <w:rPr>
          <w:color w:val="555555"/>
          <w:sz w:val="18"/>
        </w:rPr>
        <w:t xml:space="preserve">Stand: 01.01.2024 (konsolidierte Textfassung, kein amtliches Inkrafttretensdatum)</w:t>
      </w:r>
    </w:p>
    <w:p>
      <w:r>
        <w:t xml:space="preserve">(1) Die Behörden des Bundes sowie die der Aufsicht des Bundes unterstehenden juristischen Personen des öffentlichen Rechts, Sondervermögen und sonstigen Stellen sind verpflichtet, durch ihr Verhalten zur Erfüllung des Zweckes des § 1 beizutragen.</w:t>
      </w:r>
    </w:p>
    <w:p>
      <w:r>
        <w:t xml:space="preserve">(2) Die Verpflichteten nach Absatz 1 haben, insbesondere unter Berücksichtigung der §§ 6 bis 8, bei der Gestaltung von Arbeitsabläufen, bei der Beschaffung oder Verwendung von Material und Gebrauchsgütern, bei Bauvorhaben und sonstigen Aufträgen, ohne damit Rechtsansprüche Dritter zu begründen, Erzeugnissen den Vorzug zu geben, die</w:t>
      </w:r>
    </w:p>
    <w:p>
      <w:pPr>
        <w:ind w:left="420"/>
      </w:pPr>
      <w:r>
        <w:t xml:space="preserve">1. in rohstoffschonenden, energiesparenden, wassersparenden, schadstoffarmen oder abfallarmen Produktionsverfahren hergestellt worden sind,</w:t>
      </w:r>
    </w:p>
    <w:p>
      <w:pPr>
        <w:ind w:left="420"/>
      </w:pPr>
      <w:r>
        <w:t xml:space="preserve">2. durch Vorbereitung zur Wiederverwendung oder durch Recycling von Abfällen, insbesondere unter Einsatz von Rezyklaten, oder aus nachwachsenden Rohstoffen hergestellt worden sind,</w:t>
      </w:r>
    </w:p>
    <w:p>
      <w:pPr>
        <w:ind w:left="420"/>
      </w:pPr>
      <w:r>
        <w:t xml:space="preserve">3. sich durch Langlebigkeit, Reparaturfreundlichkeit, Wiederverwendbarkeit und Recyclingfähigkeit auszeichnen oder</w:t>
      </w:r>
    </w:p>
    <w:p>
      <w:pPr>
        <w:ind w:left="420"/>
      </w:pPr>
      <w:r>
        <w:t xml:space="preserve">4. im Vergleich zu anderen Erzeugnissen zu weniger oder schadstoffärmeren Abfällen führen oder sich besser zur umweltverträglichen Abfallbewirtschaftung eignen.</w:t>
      </w:r>
    </w:p>
    <w:p>
      <w:r>
        <w:t xml:space="preserve">Die Pflicht des Satzes 1 gilt, soweit die Erzeugnisse für den vorgesehenen Verwendungszweck geeignet sind, durch ihre Beschaffung oder Verwendung keine unzumutbaren Mehrkosten entstehen, ein ausreichender Wettbewerb gewährleistet wird und keine anderen Rechtsvorschriften entgegenstehen. Soweit vergaberechtliche Bestimmungen anzuwenden sind, sind diese zu beachten. § 7 der Bundeshaushaltsordnung bleibt unberührt. Abweichend von der Pflicht des Satzes 1 ist bei der Beschaffung oder Verwendung von Material und Gebrauchsgütern und bei Bauvorhaben sowie sonstigen Aufträgen, die verteidigungs- oder sicherheitsspezifische Aufträge sind oder die Verteidigungs- und Sicherheitsaspekte umfassen sowie bei sonstigen Aufträgen, soweit diese für die Einsatzfähigkeit der Bundeswehr erforderlich sind, zu prüfen, ob und in welchem Umfang die in Satz 1 genannten Erzeugnisse eingesetzt werden können.</w:t>
      </w:r>
    </w:p>
    <w:p>
      <w:r>
        <w:t xml:space="preserve">(3) Die Verpflichteten nach Absatz 1 wirken im Rahmen ihrer Möglichkeiten darauf hin, dass die rechtsfähigen Gesellschaften des privaten Rechts, an denen sie beteiligt sind, die Verpflichtungen nach den Absätzen 1 und 2 beachten.</w:t>
      </w:r>
    </w:p>
    <w:p>
      <w:r>
        <w:t xml:space="preserve">(4) Die öffentliche Hand hat im Rahmen ihrer Pflichten nach den Absätzen 1 bis 3 Regelungen für die Verwendung von Erzeugnissen oder Materialien sowie zum Schutz von Mensch und Umwelt nach anderen Rechtsvorschriften zu berücksichtigen.</w:t>
      </w:r>
    </w:p>
    <w:p>
      <w:r>
        <w:rPr>
          <w:color w:val="555555"/>
          <w:sz w:val="17"/>
        </w:rPr>
        <w:t xml:space="preserve">Zitiervorschlag: § 45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