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KrWG — Anforderungen an Deponien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Bundesregierung wird ermächtigt, nach Anhörung der beteiligten Kreise (§ 68) durch Rechtsverordnung mit Zustimmung des Bundesrates vorzuschreiben, dass die Errichtung, die Beschaffenheit, der Betrieb, der Zustand nach Stilllegung und die betreibereigene Überwachung von Deponien zur Erfüllung des § 36 Absatz 1 und der §§ 39 und 40 sowie zur Umsetzung von Rechtsakten der Europäischen Union zu dem in § 1 genannten Zweck bestimmten Anforderungen genügen müssen, insbesondere dass</w:t>
      </w:r>
    </w:p>
    <w:p>
      <w:pPr>
        <w:ind w:left="420"/>
      </w:pPr>
      <w:r>
        <w:t xml:space="preserve">1. die Standorte bestimmten Anforderungen entsprechen müssen,</w:t>
      </w:r>
    </w:p>
    <w:p>
      <w:pPr>
        <w:ind w:left="420"/>
      </w:pPr>
      <w:r>
        <w:t xml:space="preserve">2. die Deponien bestimmten betrieblichen, organisatorischen und technischen Anforderungen entsprechen müssen,</w:t>
      </w:r>
    </w:p>
    <w:p>
      <w:pPr>
        <w:ind w:left="420"/>
      </w:pPr>
      <w:r>
        <w:t xml:space="preserve">3. die in Deponien zur Ablagerung gelangenden Abfälle bestimmten Anforderungen entsprechen müssen; dabei kann insbesondere bestimmt werden, dass Abfälle mit bestimmten Metallgehalten nicht abgelagert werden dürfen und welche Abfälle als Inertabfälle gelten,</w:t>
      </w:r>
    </w:p>
    <w:p>
      <w:pPr>
        <w:ind w:left="420"/>
      </w:pPr>
      <w:r>
        <w:t xml:space="preserve">4. die von Deponien ausgehenden Emissionen bestimmte Grenzwerte nicht überschreiten dürfen,</w:t>
      </w:r>
    </w:p>
    <w:p>
      <w:pPr>
        <w:ind w:left="420"/>
      </w:pPr>
      <w:r>
        <w:t xml:space="preserve">5. die Betreiber während des Betriebes und in der Nachsorgephase bestimmte Mess- und Überwachungsmaßnahmen vorzunehmen haben oder vornehmen lassen müssen,</w:t>
      </w:r>
    </w:p>
    <w:p>
      <w:pPr>
        <w:ind w:left="420"/>
      </w:pPr>
      <w:r>
        <w:t xml:space="preserve">6. die Betreiber durch einen Sachverständigen bestimmte Prüfungen vornehmen lassen müssen</w:t>
      </w:r>
    </w:p>
    <w:p>
      <w:pPr>
        <w:ind w:left="780"/>
      </w:pPr>
      <w:r>
        <w:t xml:space="preserve">a) während der Errichtung oder sonst vor der Inbetriebnahme der Deponie,</w:t>
      </w:r>
    </w:p>
    <w:p>
      <w:pPr>
        <w:ind w:left="780"/>
      </w:pPr>
      <w:r>
        <w:t xml:space="preserve">b) nach Inbetriebnahme der Deponie oder einer Änderung im Sinne des § 35 Absatz 2 oder Absatz 5,</w:t>
      </w:r>
    </w:p>
    <w:p>
      <w:pPr>
        <w:ind w:left="780"/>
      </w:pPr>
      <w:r>
        <w:t xml:space="preserve">c) in regelmäßigen Abständen oder</w:t>
      </w:r>
    </w:p>
    <w:p>
      <w:pPr>
        <w:ind w:left="780"/>
      </w:pPr>
      <w:r>
        <w:t xml:space="preserve">d) bei oder nach der Stilllegung,</w:t>
      </w:r>
    </w:p>
    <w:p>
      <w:pPr>
        <w:ind w:left="420"/>
      </w:pPr>
      <w:r>
        <w:t xml:space="preserve">7. es den Betreibern erst nach einer Abnahme durch die zuständige Behörde gestattet ist,</w:t>
      </w:r>
    </w:p>
    <w:p>
      <w:pPr>
        <w:ind w:left="780"/>
      </w:pPr>
      <w:r>
        <w:t xml:space="preserve">a) die Deponie in Betrieb zu nehmen,</w:t>
      </w:r>
    </w:p>
    <w:p>
      <w:pPr>
        <w:ind w:left="780"/>
      </w:pPr>
      <w:r>
        <w:t xml:space="preserve">b) eine wesentliche Änderung in Betrieb zu nehmen oder</w:t>
      </w:r>
    </w:p>
    <w:p>
      <w:pPr>
        <w:ind w:left="780"/>
      </w:pPr>
      <w:r>
        <w:t xml:space="preserve">c) die Stilllegung abzuschließen,</w:t>
      </w:r>
    </w:p>
    <w:p>
      <w:pPr>
        <w:ind w:left="420"/>
      </w:pPr>
      <w:r>
        <w:t xml:space="preserve">8. bei bestimmten Ereignissen der Betreiber innerhalb bestimmter Fristen die zuständige Behörde unterrichten muss, die erforderlichen Maßnahmen zur Begrenzung und Vermeidung von Beeinträchtigungen des Wohls der Allgemeinheit ergreifen muss oder die zuständige Behörde den Betreiber zu solchen Maßnahmen verpflichten muss,</w:t>
      </w:r>
    </w:p>
    <w:p>
      <w:pPr>
        <w:ind w:left="420"/>
      </w:pPr>
      <w:r>
        <w:t xml:space="preserve">9. die Betreiber der zuständigen Behörde während des Betriebes und in der Nachsorgephase unverzüglich alle Überwachungsergebnisse, aus denen sich Anhaltspunkte für erhebliche nachteilige Umweltauswirkungen ergeben, sowie bestimmte Ereignisse, die solche Auswirkungen haben können, zu melden und der zuständigen Behörde regelmäßig einen Bericht über die Ergebnisse der in der Rechtsverordnung vorgeschriebenen Mess- und Überwachungsmaßnahmen vorzulegen haben.</w:t>
      </w:r>
    </w:p>
    <w:p>
      <w:r>
        <w:t xml:space="preserve">Bei der Festlegung der Anforderungen sind insbesondere mögliche Verlagerungen von nachteiligen Auswirkungen von einem Schutzgut auf ein anderes zu berücksichtigen; ein hohes Schutzniveau für die Umwelt insgesamt ist zu gewährleisten.</w:t>
      </w:r>
    </w:p>
    <w:p>
      <w:r>
        <w:t xml:space="preserve">(2) In der Rechtsverordnung nach Absatz 1 kann bestimmt werden, inwieweit die nach Absatz 1 zur Vorsorge gegen Beeinträchtigungen der in § 15 Absatz 2 Satz 2 genannten Schutzgüter festgelegten Anforderungen nach Ablauf bestimmter Übergangsfristen erfüllt werden müssen, soweit zum Zeitpunkt des Inkrafttretens der Rechtsverordnung in einem Planfeststellungsbeschluss, einer Plangenehmigung oder einer landesrechtlichen Vorschrift geringere Anforderungen gestellt worden sind. Bei der Bestimmung der Dauer der Übergangsfristen und der einzuhaltenden Anforderungen sind insbesondere Art, Beschaffenheit und Menge der abgelagerten Abfälle, die Standortbedingungen, Art, Menge und Gefährlichkeit der von den Deponien ausgehenden Emissionen sowie die Nutzungsdauer und technische Besonderheiten der Deponien zu berücksichtigen. Die Sätze 1 und 2 gelten für die in § 39 Absatz 1 und 2 genannten Deponien entsprechend.</w:t>
      </w:r>
    </w:p>
    <w:p>
      <w:r>
        <w:t xml:space="preserve">(3) Die Bundesregierung wird ermächtigt, nach Anhörung der beteiligten Kreise (§ 68) durch Rechtsverordnung mit Zustimmung des Bundesrates vorzuschreiben, welche Anforderungen an die Zuverlässigkeit, die Sach- und Fachkunde der für die Errichtung, Leitung oder Beaufsichtigung des Betriebes der Deponie verantwortlichen Personen und die Sach- und Fachkunde des sonstigen Personals, einschließlich der laufenden Fortbildung der verantwortlichen Personen und des sonstigen Personals zu stellen sind.</w:t>
      </w:r>
    </w:p>
    <w:p>
      <w:r>
        <w:t xml:space="preserve">(4) Die Bundesregierung wird ermächtigt, durch Rechtsverordnung mit Zustimmung des Bundesrates</w:t>
      </w:r>
    </w:p>
    <w:p>
      <w:pPr>
        <w:ind w:left="420"/>
      </w:pPr>
      <w:r>
        <w:t xml:space="preserve">1. zu bestimmen, dass die Betreiber bestimmter Deponien eine Sicherheit im Sinne von § 232 des Bürgerlichen Gesetzbuchs leisten oder ein anderes gleichwertiges Sicherungsmittel erbringen müssen,</w:t>
      </w:r>
    </w:p>
    <w:p>
      <w:pPr>
        <w:ind w:left="420"/>
      </w:pPr>
      <w:r>
        <w:t xml:space="preserve">2. Vorschriften über Art, Umfang und Höhe der nach § 36 Absatz 3 zu leistenden Sicherheit im Sinne von § 232 des Bürgerlichen Gesetzbuchs oder eines anderen gleichwertigen Sicherungsmittels zu erlassen sowie</w:t>
      </w:r>
    </w:p>
    <w:p>
      <w:pPr>
        <w:ind w:left="420"/>
      </w:pPr>
      <w:r>
        <w:t xml:space="preserve">3. zu bestimmen, wie lange die Sicherheit nach Nummer 1 geleistet oder ein anderes gleichwertiges Sicherungsmittel erbracht werden muss.</w:t>
      </w:r>
    </w:p>
    <w:p>
      <w:r>
        <w:t xml:space="preserve">(5) Durch Rechtsverordnung nach Absatz 1 können auch Verfahren zur Überprüfung der dort festgelegten Anforderungen bestimmt werden, insbesondere Verfahren entsprechend § 10 Absatz 2 Nummer 1 bis 9 und Absatz 3.</w:t>
      </w:r>
    </w:p>
    <w:p>
      <w:r>
        <w:rPr>
          <w:color w:val="555555"/>
          <w:sz w:val="17"/>
        </w:rPr>
        <w:t xml:space="preserve">Zitiervorschlag: § 43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