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KrWG — Emissionserklärung</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Der Betreiber einer Deponie ist verpflichtet, der zuständigen Behörde zu dem in der Rechtsverordnung nach Absatz 2 festgesetzten Zeitpunkt Angaben zu machen über Art und Menge sowie räumliche und zeitliche Verteilung der Emissionen, die von der Anlage in einem bestimmten Zeitraum ausgegangen sind, sowie über die Austrittsbedingungen (Emissionserklärung); er hat die Emissionserklärung nach Maßgabe der Rechtsverordnung nach Absatz 2 entsprechend dem neuesten Stand zu ergänzen. Dies gilt nicht für Betreiber von Deponien, von denen nur in geringem Umfang Emissionen ausgehen können. Die zuständige Behörde kann abweichend von Satz 1 eine kürzere Frist setzen, sofern dies im Einzelfall auf Grund besonderer Umstände erforderlich ist.</w:t>
      </w:r>
    </w:p>
    <w:p>
      <w:r>
        <w:t xml:space="preserve">(2) Die Bundesregierung wird ermächtigt, durch Rechtsverordnung mit Zustimmung des Bundesrates zu bestimmen, für welche Deponien und für welche Emissionen die Verpflichtung zur Emissionserklärung gilt, sowie Inhalt, Umfang, Form und Zeitpunkt der Abgabe der Emissionserklärung und das bei der Ermittlung der Emissionen einzuhaltende Verfahren zu regeln. In der Rechtsverordnung wird auch bestimmt, welche Betreiber nach Absatz 1 Satz 2 von der Pflicht zur Abgabe einer Emissionserklärung befreit sind.</w:t>
      </w:r>
    </w:p>
    <w:p>
      <w:r>
        <w:t xml:space="preserve">(3) § 27 Absatz 1 Satz 2, Absatz 2 und 3 des Bundes-Immissionsschutzgesetzes gilt entsprechend.</w:t>
      </w:r>
    </w:p>
    <w:p>
      <w:r>
        <w:t xml:space="preserve">(4) Die Verpflichtung nach Absatz 1, eine Emissionserklärung abzugeben, entsteht mit Inkrafttreten der Rechtsverordnung nach Absatz 2.</w:t>
      </w:r>
    </w:p>
    <w:p>
      <w:r>
        <w:rPr>
          <w:color w:val="555555"/>
          <w:sz w:val="17"/>
        </w:rPr>
        <w:t xml:space="preserve">Zitiervorschlag: § 41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