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 KrWG — Bestehende Abfallbeseitigungsanlagen</w:t>
      </w:r>
    </w:p>
    <w:p>
      <w:r>
        <w:rPr>
          <w:color w:val="555555"/>
          <w:sz w:val="18"/>
        </w:rPr>
        <w:t xml:space="preserve">Kreislaufwirtschaftsgesetz</w:t>
      </w:r>
    </w:p>
    <w:p>
      <w:r>
        <w:rPr>
          <w:color w:val="555555"/>
          <w:sz w:val="18"/>
        </w:rPr>
        <w:t xml:space="preserve">Stand: 10.06.2019 (konsolidierte Textfassung, kein amtliches Inkrafttretensdatum)</w:t>
      </w:r>
    </w:p>
    <w:p>
      <w:r>
        <w:t xml:space="preserve">(1) Die zuständige Behörde kann für Deponien, die vor dem 11. Juni 1972 betrieben wurden oder mit deren Errichtung begonnen war, für deren Betrieb Befristungen, Bedingungen und Auflagen anordnen. Sie kann den Betrieb dieser Anlagen ganz oder teilweise untersagen, wenn eine erhebliche Beeinträchtigung des Wohls der Allgemeinheit durch Auflagen, Bedingungen oder Befristungen nicht verhindert werden kann.</w:t>
      </w:r>
    </w:p>
    <w:p>
      <w:r>
        <w:t xml:space="preserve">(2) In dem in Artikel 3 des Einigungsvertrages genannten Gebiet kann die zuständige Behörde für Deponien, die vor dem 1. Juli 1990 betrieben wurden oder mit deren Errichtung begonnen war, Befristungen, Bedingungen und Auflagen für deren Errichtung und Betrieb anordnen. Absatz 1 Satz 2 gilt entsprechend.</w:t>
      </w:r>
    </w:p>
    <w:p>
      <w:r>
        <w:rPr>
          <w:color w:val="555555"/>
          <w:sz w:val="17"/>
        </w:rPr>
        <w:t xml:space="preserve">Zitiervorschlag: § 39 KrWG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https://recht.nulegal.eu/gesetze/KrWG/39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