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KrWG — Planfeststellungsverfahren und weitere Verwaltungsverfahren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Planfeststellungsverfahren gelten die §§ 72 bis 78 des Verwaltungsverfahrensgesetzes. Die Bundesregierung wird ermächtigt, durch Rechtsverordnung mit Zustimmung des Bundesrates weitere Einzelheiten des Planfeststellungs- und Plangenehmigungsverfahrens zu regeln, insbesondere</w:t>
      </w:r>
    </w:p>
    <w:p>
      <w:pPr>
        <w:ind w:left="420"/>
      </w:pPr>
      <w:r>
        <w:t xml:space="preserve">1. Art und Umfang der Antragsunterlagen,</w:t>
      </w:r>
    </w:p>
    <w:p>
      <w:pPr>
        <w:ind w:left="420"/>
      </w:pPr>
      <w:r>
        <w:t xml:space="preserve">2. nähere Einzelheiten für das Anzeigeverfahren nach § 35 Absatz 4,</w:t>
      </w:r>
    </w:p>
    <w:p>
      <w:pPr>
        <w:ind w:left="420"/>
      </w:pPr>
      <w:r>
        <w:t xml:space="preserve">3. nähere Einzelheiten für das Verfahren zur Feststellung der endgültigen Stilllegung nach § 40 Absatz 3 sowie</w:t>
      </w:r>
    </w:p>
    <w:p>
      <w:pPr>
        <w:ind w:left="420"/>
      </w:pPr>
      <w:r>
        <w:t xml:space="preserve">4. nähere Einzelheiten für das Verfahren zur Feststellung des Abschlusses der Nachsorgephase nach § 40 Absatz 5.</w:t>
      </w:r>
    </w:p>
    <w:p>
      <w:r>
        <w:t xml:space="preserve">(2) Einwendungen im Rahmen des Zulassungsverfahrens können innerhalb der gesetzlich festgelegten Frist nur schriftlich erhoben werden.</w:t>
      </w:r>
    </w:p>
    <w:p>
      <w:r>
        <w:rPr>
          <w:color w:val="555555"/>
          <w:sz w:val="17"/>
        </w:rPr>
        <w:t xml:space="preserve">Zitiervorschlag: § 38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