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KrWG — Zulassung des vorzeitigen Beginns</w:t>
      </w:r>
    </w:p>
    <w:p>
      <w:r>
        <w:rPr>
          <w:color w:val="555555"/>
          <w:sz w:val="18"/>
        </w:rPr>
        <w:t xml:space="preserve">Kreislaufwirtschaftsgesetz</w:t>
      </w:r>
    </w:p>
    <w:p>
      <w:r>
        <w:rPr>
          <w:color w:val="555555"/>
          <w:sz w:val="18"/>
        </w:rPr>
        <w:t xml:space="preserve">Stand: 29.07.2026 (konsolidierte Textfassung, kein amtliches Inkrafttretensdatum)</w:t>
      </w:r>
    </w:p>
    <w:p>
      <w:r>
        <w:t xml:space="preserve">(1) In einem Planfeststellungs- oder Plangenehmigungsverfahren für ein Vorhaben nach § 35 Absatz 2 Satz 1 kann die für die Feststellung des Plans oder für die Erteilung der Plangenehmigung zuständige Behörde vorläufig zulassen, dass bereits vor Feststellung des Plans oder der Erteilung der Plangenehmigung in Teilen mit der Errichtung oder Änderung der Anlage einschließlich der Vorarbeiten begonnen wird, wenn</w:t>
      </w:r>
    </w:p>
    <w:p>
      <w:pPr>
        <w:ind w:left="420"/>
      </w:pPr>
      <w:r>
        <w:t xml:space="preserve">1. unter Berücksichtigung der Stellungnahmen der Träger öffentlicher Belange einschließlich der Gebietskörperschaften mit einer Entscheidung im Planfeststellungs- oder Plangenehmigungsverfahren zugunsten des Vorhabenträgers gerechnet werden kann,</w:t>
      </w:r>
    </w:p>
    <w:p>
      <w:pPr>
        <w:ind w:left="420"/>
      </w:pPr>
      <w:r>
        <w:t xml:space="preserve">2. der Vorhabenträger ein berechtigtes oder ein öffentliches Interesse an der Zulassung des vorzeitigen Baubeginns darlegt,</w:t>
      </w:r>
    </w:p>
    <w:p>
      <w:pPr>
        <w:ind w:left="420"/>
      </w:pPr>
      <w:r>
        <w:t xml:space="preserve">3. der Vorhabenträger nur Maßnahmen durchführt, die reversibel sind,</w:t>
      </w:r>
    </w:p>
    <w:p>
      <w:pPr>
        <w:ind w:left="420"/>
      </w:pPr>
      <w:r>
        <w:t xml:space="preserve">4. der Vorhabenträger über die für die Maßnahmen notwendigen privaten Rechte verfügt und</w:t>
      </w:r>
    </w:p>
    <w:p>
      <w:pPr>
        <w:ind w:left="420"/>
      </w:pPr>
      <w:r>
        <w:t xml:space="preserve">5. der Vorhabenträger sich verpflichtet,</w:t>
      </w:r>
    </w:p>
    <w:p>
      <w:pPr>
        <w:ind w:left="780"/>
      </w:pPr>
      <w:r>
        <w:t xml:space="preserve">a) alle Schäden zu ersetzen, die bis zur Entscheidung im Planfeststellungs- oder Plangenehmigungsverfahren durch die Maßnahmen verursacht worden sind, und</w:t>
      </w:r>
    </w:p>
    <w:p>
      <w:pPr>
        <w:ind w:left="780"/>
      </w:pPr>
      <w:r>
        <w:t xml:space="preserve">b) sofern kein Planfeststellungsbeschluss oder keine Plangenehmigung erfolgt, einen mit dem früheren Zustand im Wesentlichen gleichartigen Zustand herzustellen.</w:t>
      </w:r>
    </w:p>
    <w:p>
      <w:r>
        <w:t xml:space="preserve">Satz 1 Nummer 1 findet auf Antrag des Antragstellers keine Anwendung in Verfahren zur Erteilung</w:t>
      </w:r>
    </w:p>
    <w:p>
      <w:pPr>
        <w:ind w:left="420"/>
      </w:pPr>
      <w:r>
        <w:t xml:space="preserve">1. einer Planfeststellung oder Plangenehmigung für eine Deponie auf einem bereits bestehenden Standort und</w:t>
      </w:r>
    </w:p>
    <w:p>
      <w:pPr>
        <w:ind w:left="420"/>
      </w:pPr>
      <w:r>
        <w:t xml:space="preserve">2. einer Änderungsgenehmigung.</w:t>
      </w:r>
    </w:p>
    <w:p>
      <w:r>
        <w:t xml:space="preserve">In den Fällen des Satzes 2 dürfen die für die beantragten vorläufigen Maßnahmen relevanten Vorschriften dieses Gesetzes und der aufgrund dieses Gesetzes erlassenen Vorschriften sowie sonstige für die beantragten vorläufigen Maßnahmen relevante öffentlich-rechtliche Vorschriften und Belange des Arbeitsschutzes der vorzeitigen Zulassung nicht entgegenstehen. Ausnahmsweise können irreversible Maßnahmen zugelassen werden, wenn sie nur wirtschaftliche Schäden verursachen und für diese Schäden eine Entschädigung in Geld geleistet wird. Die Zulassung erfolgt auf Antrag des Vorhabenträgers und unter dem Vorbehalt des Widerrufs.</w:t>
      </w:r>
    </w:p>
    <w:p>
      <w:r>
        <w:t xml:space="preserve">(2) Die für die Feststellung des Plans oder für die Erteilung der Plangenehmigung zuständige Behörde kann die Leistung einer Sicherheit verlangen, soweit dies erforderlich ist, um die Erfüllung der Verpflichtungen des Vorhabenträgers nach Absatz 1 Satz 1 Nummer 5 zu sichern. Soweit die zugelassenen Maßnahmen durch die Planfeststellung oder Plangenehmigung für unzulässig erklärt sind, ordnet die Behörde gegenüber dem Träger des Vorhabens an, einen mit dem früheren Zustand im Wesentlichen gleichartigen Zustand wiederherzustellen. Dies gilt auch, wenn der Antrag auf Planfeststellung oder Plangenehmigung zurückgenommen wurde. Satz 1 gilt entsprechend.</w:t>
      </w:r>
    </w:p>
    <w:p>
      <w:r>
        <w:t xml:space="preserve">(3) Die Entscheidung über die Zulassung des vorzeitigen Baubeginns ist den Beteiligten zuzustellen.</w:t>
      </w:r>
    </w:p>
    <w:p>
      <w:r>
        <w:t xml:space="preserve">(4) Widerspruch und Anfechtungsklage gegen die Zulassung des vorzeitigen Baubeginns haben keine aufschiebende Wirkung.</w:t>
      </w:r>
    </w:p>
    <w:p>
      <w:r>
        <w:rPr>
          <w:color w:val="555555"/>
          <w:sz w:val="17"/>
        </w:rPr>
        <w:t xml:space="preserve">Zitiervorschlag: § 37 KrWG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