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KrWG — Planfeststellung und Genehmigung</w:t>
      </w:r>
    </w:p>
    <w:p>
      <w:r>
        <w:rPr>
          <w:color w:val="555555"/>
          <w:sz w:val="18"/>
        </w:rPr>
        <w:t xml:space="preserve">Kreislaufwirtschaftsgesetz</w:t>
      </w:r>
    </w:p>
    <w:p>
      <w:r>
        <w:rPr>
          <w:color w:val="555555"/>
          <w:sz w:val="18"/>
        </w:rPr>
        <w:t xml:space="preserve">Stand: 29.07.2026 (konsolidierte Textfassung, kein amtliches Inkrafttretensdatum)</w:t>
      </w:r>
    </w:p>
    <w:p>
      <w:r>
        <w:t xml:space="preserve">(1) Die Errichtung und der Betrieb von Anlagen, in denen eine Entsorgung von Abfällen durchgeführt wird, sowie die wesentliche Änderung einer solchen Anlage oder ihres Betriebes bedürfen der Genehmigung nach den Vorschriften des Bundes-Immissionsschutzgesetzes; einer weiteren Zulassung nach diesem Gesetz bedarf es nicht.</w:t>
      </w:r>
    </w:p>
    <w:p>
      <w:r>
        <w:t xml:space="preserve">(2) Die Errichtung und der Betrieb von Deponien sowie die wesentliche Änderung einer solchen Anlage oder ihres Betriebes bedürfen der Planfeststellung durch die zuständige Behörde. In dem Planfeststellungsverfahren ist eine Umweltverträglichkeitsprüfung nach den Vorschriften des Gesetzes über die Umweltverträglichkeitsprüfung durchzuführen.</w:t>
      </w:r>
    </w:p>
    <w:p>
      <w:r>
        <w:t xml:space="preserve">(3) § 74a Absatz 1 bis 3 des Verwaltungsverfahrensgesetzes gilt mit der Maßgabe, dass die zuständige Behörde nur dann an Stelle eines Planfeststellungsbeschlusses auf Antrag oder von Amts wegen eine Plangenehmigung erteilen kann, wenn</w:t>
      </w:r>
    </w:p>
    <w:p>
      <w:pPr>
        <w:ind w:left="420"/>
      </w:pPr>
      <w:r>
        <w:t xml:space="preserve">1. die Errichtung und der Betrieb einer unbedeutenden Deponie beantragt werden, soweit die Errichtung und der Betrieb keine erheblichen nachteiligen Auswirkungen auf ein in § 2 Absatz 1 des Gesetzes über die Umweltverträglichkeitsprüfung genanntes Schutzgut haben können, oder</w:t>
      </w:r>
    </w:p>
    <w:p>
      <w:pPr>
        <w:ind w:left="420"/>
      </w:pPr>
      <w:r>
        <w:t xml:space="preserve">2. die wesentliche Änderung einer Deponie oder ihres Betriebes beantragt wird, soweit die Änderung keine erheblichen nachteiligen Auswirkungen auf ein in § 2 Absatz 1 des Gesetzes über die Umweltverträglichkeitsprüfung genanntes Schutzgut haben kann, oder</w:t>
      </w:r>
    </w:p>
    <w:p>
      <w:pPr>
        <w:ind w:left="420"/>
      </w:pPr>
      <w:r>
        <w:t xml:space="preserve">3. die Errichtung und der Betrieb einer Deponie beantragt werden, die ausschließlich oder überwiegend der Entwicklung und Erprobung neuer Verfahren dient, und die Genehmigung für einen Zeitraum von höchstens zwei Jahren nach Inbetriebnahme der Anlage erteilt werden soll; soweit diese Deponie der Ablagerung gefährlicher Abfälle dient, darf die Genehmigung für einen Zeitraum von höchstens einem Jahr nach Inbetriebnahme der Anlage erteilt werden.</w:t>
      </w:r>
    </w:p>
    <w:p>
      <w:r>
        <w:t xml:space="preserve">Die zuständige Behörde soll ein Genehmigungsverfahren durchführen, wenn die wesentliche Änderung keine erheblichen nachteiligen Auswirkungen auf ein in § 2 Absatz 1 des Gesetzes über die Umweltverträglichkeitsprüfung genanntes Schutzgut hat und den Zweck verfolgt, eine wesentliche Verbesserung für diese Schutzgüter herbeizuführen. Eine Plangenehmigung nach Satz 1 Nummer 1 kann nicht erteilt werden</w:t>
      </w:r>
    </w:p>
    <w:p>
      <w:pPr>
        <w:ind w:left="420"/>
      </w:pPr>
      <w:r>
        <w:t xml:space="preserve">1. für Deponien zur Ablagerung von gefährlichen Abfällen,</w:t>
      </w:r>
    </w:p>
    <w:p>
      <w:pPr>
        <w:ind w:left="420"/>
      </w:pPr>
      <w:r>
        <w:t xml:space="preserve">2. für Deponien zur Ablagerung von nicht gefährlichen Abfällen mit einer Aufnahmekapazität von 10 Tonnen oder mehr pro Tag oder mit einer Gesamtkapazität von 25 000 Tonnen oder mehr; dies gilt nicht für Deponien für Inertabfälle.</w:t>
      </w:r>
    </w:p>
    <w:p>
      <w:r>
        <w:t xml:space="preserve">(4) § 15 Absatz 1 Satz 1 bis 4 und Absatz 2 des Bundes-Immissionsschutzgesetzes gilt entsprechend. Satz 1 findet auch auf die in § 39 genannten Deponien Anwendung.</w:t>
      </w:r>
    </w:p>
    <w:p>
      <w:r>
        <w:t xml:space="preserve">(5) Für nach Absatz 4 anzeigebedürftige Änderungen kann der Träger des Vorhabens eine Planfeststellung oder eine Plangenehmigung beantragen.</w:t>
      </w:r>
    </w:p>
    <w:p>
      <w:r>
        <w:rPr>
          <w:color w:val="555555"/>
          <w:sz w:val="17"/>
        </w:rPr>
        <w:t xml:space="preserve">Zitiervorschlag: § 35 KrWG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