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KrWG — Abfallwirtschaftskonzepte und Abfallbilanzen</w:t>
      </w:r>
    </w:p>
    <w:p>
      <w:r>
        <w:rPr>
          <w:color w:val="555555"/>
          <w:sz w:val="18"/>
        </w:rPr>
        <w:t xml:space="preserve">Kreislaufwirtschaftsgesetz</w:t>
      </w:r>
    </w:p>
    <w:p>
      <w:r>
        <w:rPr>
          <w:color w:val="555555"/>
          <w:sz w:val="18"/>
        </w:rPr>
        <w:t xml:space="preserve">Stand: 29.10.2020 (konsolidierte Textfassung, kein amtliches Inkrafttretensdatum)</w:t>
      </w:r>
    </w:p>
    <w:p>
      <w:r>
        <w:t xml:space="preserve">Die öffentlich-rechtlichen Entsorgungsträger im Sinne des § 20 haben Abfallwirtschaftskonzepte und Abfallbilanzen über die Verwertung, insbesondere die Vorbereitung zur Wiederverwendung und das Recycling, und die Beseitigung der in ihrem Gebiet anfallenden und ihnen zu überlassenden Abfälle zu erstellen; dabei werden die betriebenen und geplanten Systeme zur Getrenntsammlung, insbesondere der in § 20 Absatz 2 genannten Abfallarten, gesondert dargestellt. In den Abfallwirtschaftskonzepten und Abfallbilanzen sind zudem die getroffenen Maßnahmen zur Abfallvermeidung darzustellen. Bei der Fortentwicklung von Abfallvermeidungsmaßnahmen sind die Maßnahmen des Abfallvermeidungsprogramms nach § 33 zu berücksichtigen. Die Anforderungen an Abfallwirtschaftskonzepte und Abfallbilanzen richten sich nach Landesrecht.</w:t>
      </w:r>
    </w:p>
    <w:p>
      <w:r>
        <w:rPr>
          <w:color w:val="555555"/>
          <w:sz w:val="17"/>
        </w:rPr>
        <w:t xml:space="preserve">Zitiervorschlag: § 21 KrWG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https://recht.nulegal.eu/gesetze/KrWG/21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