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KrWG — Duldungspflichten bei Grundstücken</w:t>
      </w:r>
    </w:p>
    <w:p>
      <w:r>
        <w:rPr>
          <w:color w:val="555555"/>
          <w:sz w:val="18"/>
        </w:rPr>
        <w:t xml:space="preserve">Kreislaufwirtschaftsgesetz</w:t>
      </w:r>
    </w:p>
    <w:p>
      <w:r>
        <w:rPr>
          <w:color w:val="555555"/>
          <w:sz w:val="18"/>
        </w:rPr>
        <w:t xml:space="preserve">Stand: 10.06.2019 (konsolidierte Textfassung, kein amtliches Inkrafttretensdatum)</w:t>
      </w:r>
    </w:p>
    <w:p>
      <w:r>
        <w:t xml:space="preserve">(1) Die Eigentümer und Besitzer von Grundstücken, auf denen überlassungspflichtige Abfälle anfallen, sind verpflichtet, das Aufstellen von zur Erfassung notwendigen Behältnissen sowie das Betreten des Grundstücks zum Zweck des Einsammelns und zur Überwachung des Getrennthaltens und der Verwertung von Abfällen zu dulden. Die Bediensteten und Beauftragten der zuständigen Behörde dürfen Geschäfts- und Betriebsgrundstücke und Geschäfts- und Betriebsräume außerhalb der üblichen Geschäftszeiten sowie Wohnräume ohne Einverständnis des Inhabers nur zur Verhütung dringender Gefahren für die öffentliche Sicherheit und Ordnung betreten. Das Grundrecht auf Unverletzlichkeit der Wohnung (Artikel 13 Absatz 1 des Grundgesetzes) wird insoweit eingeschränkt.</w:t>
      </w:r>
    </w:p>
    <w:p>
      <w:r>
        <w:t xml:space="preserve">(2) Absatz 1 gilt entsprechend für Rücknahme- und Sammelsysteme, die zur Durchführung von Rücknahmepflichten auf Grund einer Rechtsverordnung nach § 25 erforderlich sind.</w:t>
      </w:r>
    </w:p>
    <w:p>
      <w:r>
        <w:rPr>
          <w:color w:val="555555"/>
          <w:sz w:val="17"/>
        </w:rPr>
        <w:t xml:space="preserve">Zitiervorschlag: § 19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