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KrWG — Überlassungspflichten</w:t>
      </w:r>
    </w:p>
    <w:p>
      <w:r>
        <w:rPr>
          <w:color w:val="555555"/>
          <w:sz w:val="18"/>
        </w:rPr>
        <w:t xml:space="preserve">Kreislaufwirtschaftsgesetz</w:t>
      </w:r>
    </w:p>
    <w:p>
      <w:r>
        <w:rPr>
          <w:color w:val="555555"/>
          <w:sz w:val="18"/>
        </w:rPr>
        <w:t xml:space="preserve">Stand: 29.10.2020 (konsolidierte Textfassung, kein amtliches Inkrafttretensdatum)</w:t>
      </w:r>
    </w:p>
    <w:p>
      <w:r>
        <w:t xml:space="preserve">(1) Abweichend von § 7 Absatz 2 und § 15 Absatz 1 sind Erzeuger oder Besitzer von Abfällen aus privaten Haushaltungen verpflichtet, diese Abfälle den nach Landesrecht zur Entsorgung verpflichteten juristischen Personen (öffentlich-rechtliche Entsorgungsträger) zu überlassen, soweit sie zu einer Verwertung auf den von ihnen im Rahmen ihrer privaten Lebensführung genutzten Grundstücken nicht in der Lage sind oder diese nicht beabsichtigen. Satz 1 gilt auch für Erzeuger und Besitzer von Abfällen zur Beseitigung aus anderen Herkunftsbereichen, soweit sie diese nicht in eigenen Anlagen beseitigen. Die Befugnis zur Beseitigung der Abfälle in eigenen Anlagen nach Satz 2 besteht nicht, soweit die Überlassung der Abfälle an den öffentlich-rechtlichen Entsorgungsträger auf Grund überwiegender öffentlicher Interessen erforderlich ist.</w:t>
      </w:r>
    </w:p>
    <w:p>
      <w:r>
        <w:t xml:space="preserve">(2) Die Überlassungspflicht besteht nicht für Abfälle,</w:t>
      </w:r>
    </w:p>
    <w:p>
      <w:pPr>
        <w:ind w:left="420"/>
      </w:pPr>
      <w:r>
        <w:t xml:space="preserve">1. die einer Rücknahme- oder Rückgabepflicht auf Grund einer Rechtsverordnung nach § 25 unterliegen, soweit nicht die öffentlich-rechtlichen Entsorgungsträger auf Grund einer Bestimmung nach § 25 Absatz 2 Nummer 8 an der Rücknahme mitwirken; hierfür kann insbesondere eine einheitliche Wertstofftonne oder eine einheitliche Wertstofferfassung in vergleichbarer Qualität vorgesehen werden, durch die werthaltige Abfälle aus privaten Haushaltungen in effizienter Weise erfasst und einer hochwertigen Verwertung zugeführt werden,</w:t>
      </w:r>
    </w:p>
    <w:p>
      <w:pPr>
        <w:ind w:left="420"/>
      </w:pPr>
      <w:r>
        <w:t xml:space="preserve">2. die in Wahrnehmung der Produktverantwortung nach § 26 freiwillig zurückgenommen werden, soweit dem zurücknehmenden Hersteller oder Vertreiber ein Feststellungs- oder Freistellungsbescheid nach § 26 Absatz 3 oder § 26a Absatz 1 Satz 1 erteilt worden ist,</w:t>
      </w:r>
    </w:p>
    <w:p>
      <w:pPr>
        <w:ind w:left="420"/>
      </w:pPr>
      <w:r>
        <w:t xml:space="preserve">3. die durch gemeinnützige Sammlung einer ordnungsgemäßen und schadlosen Verwertung zugeführt werden,</w:t>
      </w:r>
    </w:p>
    <w:p>
      <w:pPr>
        <w:ind w:left="420"/>
      </w:pPr>
      <w:r>
        <w:t xml:space="preserve">4. die durch gewerbliche Sammlung einer ordnungsgemäßen und schadlosen Verwertung zugeführt werden, soweit überwiegende öffentliche Interessen dieser Sammlung nicht entgegenstehen.</w:t>
      </w:r>
    </w:p>
    <w:p>
      <w:r>
        <w:t xml:space="preserve">Satz 1 Nummer 3 und 4 gilt nicht für gemischte Abfälle aus privaten Haushaltungen und gefährliche Abfälle. Sonderregelungen der Überlassungspflicht durch Rechtsverordnungen nach den §§ 10, 16 und 25 bleiben unberührt.</w:t>
      </w:r>
    </w:p>
    <w:p>
      <w:r>
        <w:t xml:space="preserve">(3) Überwiegende öffentliche Interessen nach Absatz 2 Satz 1 Nummer 4 stehen einer gewerblichen Sammlung entgegen, wenn die Sammlung in ihrer konkreten Ausgestaltung, auch im Zusammenwirken mit anderen Sammlungen, die Funktionsfähigkeit des öffentlich-rechtlichen Entsorgungsträgers, des von diesem beauftragten Dritten oder des auf Grund einer Rechtsverordnung nach § 25 eingerichteten Rücknahmesystems gefährdet. Eine Gefährdung der Funktionsfähigkeit des öffentlich-rechtlichen Entsorgungsträgers oder des von diesem beauftragten Dritten ist anzunehmen, wenn die Erfüllung der nach § 20 bestehenden Entsorgungspflichten zu wirtschaftlich ausgewogenen Bedingungen verhindert oder die Planungssicherheit und Organisationsverantwortung wesentlich beeinträchtigt wird. Eine wesentliche Beeinträchtigung der Planungssicherheit und Organisationsverantwortung des öffentlich-rechtlichen Entsorgungsträgers ist insbesondere anzunehmen, wenn durch die gewerbliche Sammlung</w:t>
      </w:r>
    </w:p>
    <w:p>
      <w:pPr>
        <w:ind w:left="420"/>
      </w:pPr>
      <w:r>
        <w:t xml:space="preserve">1. Abfälle erfasst werden, für die der öffentlich-rechtliche Entsorgungsträger oder der von diesem beauftragte Dritte eine haushaltsnahe oder sonstige hochwertige getrennte Erfassung und Verwertung der Abfälle durchführt,</w:t>
      </w:r>
    </w:p>
    <w:p>
      <w:pPr>
        <w:ind w:left="420"/>
      </w:pPr>
      <w:r>
        <w:t xml:space="preserve">2. die Stabilität der Gebühren gefährdet wird oder</w:t>
      </w:r>
    </w:p>
    <w:p>
      <w:pPr>
        <w:ind w:left="420"/>
      </w:pPr>
      <w:r>
        <w:t xml:space="preserve">3. die diskriminierungsfreie und transparente Vergabe von Entsorgungsleistungen im Wettbewerb erheblich erschwert oder unterlaufen wird.</w:t>
      </w:r>
    </w:p>
    <w:p>
      <w:r>
        <w:t xml:space="preserve">Satz 3 Nummer 1 und 2 gilt nicht, wenn die vom gewerblichen Sammler angebotene Sammlung und Verwertung der Abfälle wesentlich leistungsfähiger ist als die von dem öffentlich-rechtlichen Entsorgungsträger oder dem von ihm beauftragten Dritten bereits angebotene oder konkret geplante Leistung. Bei der Beurteilung der Leistungsfähigkeit sind sowohl die in Bezug auf die Ziele der Kreislaufwirtschaft zu beurteilenden Kriterien der Qualität und der Effizienz, des Umfangs und der Dauer der Erfassung und Verwertung der Abfälle als auch die aus Sicht aller privaten Haushalte im Gebiet des öffentlich-rechtlichen Entsorgungsträgers zu beurteilende gemeinwohlorientierte Servicegerechtigkeit der Leistung zugrunde zu legen. Leistungen, die über die unmittelbare Sammel- und Verwertungsleistung hinausgehen, insbesondere Entgeltzahlungen, sind bei der Beurteilung der Leistungsfähigkeit nicht zu berücksichtigen.</w:t>
      </w:r>
    </w:p>
    <w:p>
      <w:r>
        <w:t xml:space="preserve">(4) Die Länder können zur Sicherstellung der umweltverträglichen Beseitigung Andienungs- und Überlassungspflichten für gefährliche Abfälle zur Beseitigung bestimmen. Andienungspflichten für gefährliche Abfälle zur Verwertung, die die Länder bis zum 7. Oktober 1996 bestimmt haben, bleiben unberührt.</w:t>
      </w:r>
    </w:p>
    <w:p>
      <w:r>
        <w:rPr>
          <w:color w:val="555555"/>
          <w:sz w:val="17"/>
        </w:rPr>
        <w:t xml:space="preserve">Zitiervorschlag: § 17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