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KrWG — Grundpflichten der Abfallbeseitigung</w:t>
      </w:r>
    </w:p>
    <w:p>
      <w:r>
        <w:rPr>
          <w:color w:val="555555"/>
          <w:sz w:val="18"/>
        </w:rPr>
        <w:t xml:space="preserve">Kreislaufwirtschaftsgesetz</w:t>
      </w:r>
    </w:p>
    <w:p>
      <w:r>
        <w:rPr>
          <w:color w:val="555555"/>
          <w:sz w:val="18"/>
        </w:rPr>
        <w:t xml:space="preserve">Stand: 29.10.2020 (konsolidierte Textfassung, kein amtliches Inkrafttretensdatum)</w:t>
      </w:r>
    </w:p>
    <w:p>
      <w:r>
        <w:t xml:space="preserve">(1) Die Erzeuger oder Besitzer von Abfällen, die nicht verwertet werden, sind verpflichtet, diese zu beseitigen, soweit in § 17 nichts anderes bestimmt ist. Durch die Behandlung von Abfällen sind deren Menge und Schädlichkeit zu vermindern. Energie oder Abfälle, die bei der Beseitigung anfallen, sind hochwertig zu nutzen; § 8 Absatz 1 Satz 3 gilt entsprechend.</w:t>
      </w:r>
    </w:p>
    <w:p>
      <w:r>
        <w:t xml:space="preserve">(2) Abfälle sind so zu beseitigen, dass das Wohl der Allgemeinheit nicht beeinträchtigt wird. Eine Beeinträchtigung liegt insbesondere dann vor, wenn</w:t>
      </w:r>
    </w:p>
    <w:p>
      <w:pPr>
        <w:ind w:left="420"/>
      </w:pPr>
      <w:r>
        <w:t xml:space="preserve">1. die Gesundheit der Menschen beeinträchtigt wird,</w:t>
      </w:r>
    </w:p>
    <w:p>
      <w:pPr>
        <w:ind w:left="420"/>
      </w:pPr>
      <w:r>
        <w:t xml:space="preserve">2. Tiere oder Pflanzen gefährdet werden,</w:t>
      </w:r>
    </w:p>
    <w:p>
      <w:pPr>
        <w:ind w:left="420"/>
      </w:pPr>
      <w:r>
        <w:t xml:space="preserve">3. Gewässer oder Böden schädlich beeinflusst werden,</w:t>
      </w:r>
    </w:p>
    <w:p>
      <w:pPr>
        <w:ind w:left="420"/>
      </w:pPr>
      <w:r>
        <w:t xml:space="preserve">4. schädliche Umwelteinwirkungen durch Luftverunreinigungen oder Lärm herbeigeführt werden,</w:t>
      </w:r>
    </w:p>
    <w:p>
      <w:pPr>
        <w:ind w:left="420"/>
      </w:pPr>
      <w:r>
        <w:t xml:space="preserve">5. die Ziele oder Grundsätze und sonstigen Erfordernisse der Raumordnung nicht beachtet oder die Belange des Naturschutzes, der Landschaftspflege sowie des Städtebaus nicht berücksichtigt werden oder</w:t>
      </w:r>
    </w:p>
    <w:p>
      <w:pPr>
        <w:ind w:left="420"/>
      </w:pPr>
      <w:r>
        <w:t xml:space="preserve">6. die öffentliche Sicherheit oder Ordnung in sonstiger Weise gefährdet oder gestört wird.</w:t>
      </w:r>
    </w:p>
    <w:p>
      <w:r>
        <w:t xml:space="preserve">(3) Soweit dies zur Erfüllung der Anforderungen nach den Absätzen 1 und 2 erforderlich ist, sind Abfälle zur Beseitigung getrennt zu sammeln und zu behandeln. § 9 Absatz 2 und 3 und § 9a gelten entsprechend.</w:t>
      </w:r>
    </w:p>
    <w:p>
      <w:r>
        <w:t xml:space="preserve">(4) Die Ablagerung von Siedlungsabfällen auf Deponien darf spätestens ab dem 1. Januar 2035 höchstens 10 Gewichtsprozent des gesamten Siedlungsabfallaufkommens betragen.</w:t>
      </w:r>
    </w:p>
    <w:p>
      <w:r>
        <w:rPr>
          <w:color w:val="555555"/>
          <w:sz w:val="17"/>
        </w:rPr>
        <w:t xml:space="preserve">Zitiervorschlag: § 15 KrWG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