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KrWG — Anforderungen an die Kreislaufwirtschaft</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Die Bundesregierung wird ermächtigt, nach Anhörung der beteiligten Kreise (§ 68) durch Rechtsverordnung mit Zustimmung des Bundesrates, soweit es zur Erfüllung der Pflichten nach § 7 Absatz 2 bis 4, § 8 Absatz 1, der §§ 9 und 9a, insbesondere zur Sicherung der schadlosen Verwertung, erforderlich ist,</w:t>
      </w:r>
    </w:p>
    <w:p>
      <w:pPr>
        <w:ind w:left="420"/>
      </w:pPr>
      <w:r>
        <w:t xml:space="preserve">1. die Einbindung oder den Verbleib bestimmter Abfälle in Erzeugnisse/Erzeugnissen nach Art, Beschaffenheit oder Inhaltsstoffen zu beschränken oder zu verbieten,</w:t>
      </w:r>
    </w:p>
    <w:p>
      <w:pPr>
        <w:ind w:left="420"/>
      </w:pPr>
      <w:r>
        <w:t xml:space="preserve">2. Anforderungen an die getrennte Sammlung, die Behandlung, die Zulässigkeit der Vermischung sowie die Beförderung und Lagerung von Abfällen festzulegen,</w:t>
      </w:r>
    </w:p>
    <w:p>
      <w:pPr>
        <w:ind w:left="420"/>
      </w:pPr>
      <w:r>
        <w:t xml:space="preserve">3. Anforderungen an das Bereitstellen, Überlassen, Sammeln und Einsammeln von Abfällen durch Hol- und Bringsysteme, jeweils auch in einer einheitlichen Wertstofftonne oder durch eine einheitliche Wertstofferfassung in vergleichbarer Qualität gemeinsam mit gleichartigen Erzeugnissen oder mit auf dem gleichen Wege zu verwertenden Erzeugnissen, die jeweils einer verordneten Rücknahme nach § 25 unterliegen, festzulegen,</w:t>
      </w:r>
    </w:p>
    <w:p>
      <w:pPr>
        <w:ind w:left="420"/>
      </w:pPr>
      <w:r>
        <w:t xml:space="preserve">4. für bestimmte Abfälle, deren Verwertung auf Grund ihrer Art, Beschaffenheit oder Menge in besonderer Weise geeignet ist, Beeinträchtigungen des Wohls der Allgemeinheit, vor allem der in § 15 Absatz 2 Satz 2 genannten Schutzgüter, herbeizuführen, nach Herkunftsbereich, Anfallstelle oder Ausgangsprodukt festzulegen,</w:t>
      </w:r>
    </w:p>
    <w:p>
      <w:pPr>
        <w:ind w:left="780"/>
      </w:pPr>
      <w:r>
        <w:t xml:space="preserve">a) dass diese nur in bestimmter Menge oder Beschaffenheit oder nur für bestimmte Zwecke in Verkehr gebracht oder verwertet werden dürfen,</w:t>
      </w:r>
    </w:p>
    <w:p>
      <w:pPr>
        <w:ind w:left="780"/>
      </w:pPr>
      <w:r>
        <w:t xml:space="preserve">b) dass diese mit bestimmter Beschaffenheit nicht in Verkehr gebracht werden dürfen,</w:t>
      </w:r>
    </w:p>
    <w:p>
      <w:pPr>
        <w:ind w:left="420"/>
      </w:pPr>
      <w:r>
        <w:t xml:space="preserve">5. Anforderungen an die Verwertung von mineralischen Abfällen in technischen Bauwerken festzulegen.</w:t>
      </w:r>
    </w:p>
    <w:p>
      <w:r>
        <w:t xml:space="preserve">(2) Durch Rechtsverordnung nach Absatz 1 können auch Verfahren zur Überprüfung der dort festgelegten Anforderungen bestimmt werden, insbesondere</w:t>
      </w:r>
    </w:p>
    <w:p>
      <w:pPr>
        <w:ind w:left="420"/>
      </w:pPr>
      <w:r>
        <w:t xml:space="preserve">1. dass Nachweise oder Register zu führen und vorzulegen sind,</w:t>
      </w:r>
    </w:p>
    <w:p>
      <w:pPr>
        <w:ind w:left="780"/>
      </w:pPr>
      <w:r>
        <w:t xml:space="preserve">a) auch ohne eine Anordnung nach § 51, oder</w:t>
      </w:r>
    </w:p>
    <w:p>
      <w:pPr>
        <w:ind w:left="780"/>
      </w:pPr>
      <w:r>
        <w:t xml:space="preserve">b) abweichend von bestimmten Anforderungen nach den §§ 49 und 50 oder einer Rechtsverordnung nach § 52,</w:t>
      </w:r>
    </w:p>
    <w:p>
      <w:pPr>
        <w:ind w:left="420"/>
      </w:pPr>
      <w:r>
        <w:t xml:space="preserve">2. dass die Entsorger von Abfällen diese bei Annahme oder Weitergabe in bestimmter Art und Weise zu überprüfen und das Ergebnis dieser Prüfung in den Nachweisen oder Registern zu verzeichnen haben,</w:t>
      </w:r>
    </w:p>
    <w:p>
      <w:pPr>
        <w:ind w:left="420"/>
      </w:pPr>
      <w:r>
        <w:t xml:space="preserve">3. dass die Beförderer und Entsorger von Abfällen ein Betriebstagebuch zu führen haben, in dem bestimmte Angaben zu den Betriebsabläufen zu verzeichnen sind, die nicht schon in die Register aufgenommen werden,</w:t>
      </w:r>
    </w:p>
    <w:p>
      <w:pPr>
        <w:ind w:left="420"/>
      </w:pPr>
      <w:r>
        <w:t xml:space="preserve">4. dass die Erzeuger, Besitzer oder Entsorger von Abfällen bei Annahme oder Weitergabe der Abfälle auf die Anforderungen, die sich aus der Rechtsverordnung ergeben, hinzuweisen oder die Abfälle oder die für deren Beförderung vorgesehenen Behältnisse in bestimmter Weise zu kennzeichnen haben,</w:t>
      </w:r>
    </w:p>
    <w:p>
      <w:pPr>
        <w:ind w:left="420"/>
      </w:pPr>
      <w:r>
        <w:t xml:space="preserve">5. die Entnahme von Proben, der Verbleib und die Aufbewahrung von Rückstellproben und die hierfür anzuwendenden Verfahren,</w:t>
      </w:r>
    </w:p>
    <w:p>
      <w:pPr>
        <w:ind w:left="420"/>
      </w:pPr>
      <w:r>
        <w:t xml:space="preserve">6. die Analyseverfahren, die zur Bestimmung von einzelnen Stoffen oder Stoffgruppen erforderlich sind,</w:t>
      </w:r>
    </w:p>
    <w:p>
      <w:pPr>
        <w:ind w:left="420"/>
      </w:pPr>
      <w:r>
        <w:t xml:space="preserve">7. dass der Verpflichtete mit der Durchführung der Probenahme und der Analysen nach den Nummern 5 und 6 einen von der zuständigen Landesbehörde bekannt gegebenen Sachverständigen, eine von dieser Behörde bekannt gegebene Stelle oder eine sonstige Person, die über die erforderliche Sach- und Fachkunde verfügt, zu beauftragen hat,</w:t>
      </w:r>
    </w:p>
    <w:p>
      <w:pPr>
        <w:ind w:left="420"/>
      </w:pPr>
      <w:r>
        <w:t xml:space="preserve">8. welche Anforderungen an die Sach- und Fachkunde der Probenehmer nach Nummer 7 zu stellen sind sowie</w:t>
      </w:r>
    </w:p>
    <w:p>
      <w:pPr>
        <w:ind w:left="420"/>
      </w:pPr>
      <w:r>
        <w:t xml:space="preserve">9. dass Nachweise, Register und Betriebstagebücher nach den Nummern 1 bis 3 elektronisch zu führen und Dokumente in elektronischer Form gemäß § 3a Absatz 2 Satz 2 und 3 des Verwaltungsverfahrensgesetzes vorzulegen sind.</w:t>
      </w:r>
    </w:p>
    <w:p>
      <w:r>
        <w:t xml:space="preserve">(3) Wegen der Anforderungen nach Absatz 2 Nummer 5 bis 7 kann auf jedermann zugängliche Bekanntmachungen verwiesen werden. Hierbei sind</w:t>
      </w:r>
    </w:p>
    <w:p>
      <w:pPr>
        <w:ind w:left="420"/>
      </w:pPr>
      <w:r>
        <w:t xml:space="preserve">1. in der Rechtsverordnung das Datum der Bekanntmachung anzugeben und die Bezugsquelle genau zu bezeichnen,</w:t>
      </w:r>
    </w:p>
    <w:p>
      <w:pPr>
        <w:ind w:left="420"/>
      </w:pPr>
      <w:r>
        <w:t xml:space="preserve">2. die Bekanntmachung beim Deutschen Patent- und Markenamt archivmäßig gesichert niederzulegen und in der Rechtsverordnung darauf hinzuweisen.</w:t>
      </w:r>
    </w:p>
    <w:p>
      <w:r>
        <w:t xml:space="preserve">(4) Durch Rechtsverordnung nach Absatz 1 Nummer 4 kann vorgeschrieben werden, dass derjenige, der bestimmte Abfälle, an deren schadlose Verwertung nach Maßgabe des § 7 Absatz 2 und 3, des § 8 Absatz 1, der §§ 9 und 9a auf Grund ihrer Art, Beschaffenheit oder Menge besondere Anforderungen zu stellen sind, in Verkehr bringt oder verwertet,</w:t>
      </w:r>
    </w:p>
    <w:p>
      <w:pPr>
        <w:ind w:left="420"/>
      </w:pPr>
      <w:r>
        <w:t xml:space="preserve">1. dies anzuzeigen hat,</w:t>
      </w:r>
    </w:p>
    <w:p>
      <w:pPr>
        <w:ind w:left="420"/>
      </w:pPr>
      <w:r>
        <w:t xml:space="preserve">2. dazu einer Erlaubnis bedarf,</w:t>
      </w:r>
    </w:p>
    <w:p>
      <w:pPr>
        <w:ind w:left="420"/>
      </w:pPr>
      <w:r>
        <w:t xml:space="preserve">3. bestimmten Anforderungen an seine Zuverlässigkeit genügen muss oder</w:t>
      </w:r>
    </w:p>
    <w:p>
      <w:pPr>
        <w:ind w:left="420"/>
      </w:pPr>
      <w:r>
        <w:t xml:space="preserve">4. seine notwendige Sach- oder Fachkunde in einem näher festzulegenden Verfahren nachzuweisen hat.</w:t>
      </w:r>
    </w:p>
    <w:p>
      <w:r>
        <w:rPr>
          <w:color w:val="555555"/>
          <w:sz w:val="17"/>
        </w:rPr>
        <w:t xml:space="preserve">Zitiervorschlag: § 10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