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KrWG — Zweck des Gesetzes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Zweck des Gesetzes ist es, die Kreislaufwirtschaft zur Schonung der natürlichen Ressourcen zu fördern und den Schutz von Mensch und Umwelt bei der Erzeugung und Bewirtschaftung von Abfällen sicherzustellen.</w:t>
      </w:r>
    </w:p>
    <w:p>
      <w:r>
        <w:t xml:space="preserve">(2) Mit diesem Gesetz soll außerdem das Erreichen der europarechtlichen Zielvorgaben der Richtlinie 2008/98/EG des Europäischen Parlaments und des Rates vom 19. November 2008 über Abfälle und zur Aufhebung bestimmter Richtlinien (ABl. L 312 vom 22.11.2008, S. 3; L 127 vom 26.5.2009, S. 24; L 297 vom 13.11.2015, S. 9; L 42 vom 18.2.2017, S. 43), die zuletzt durch die Richtlinie (EU) 2018/851 (ABl. L 150 vom 14.6.2018, S. 109) geändert worden ist, gefördert werden.</w:t>
      </w:r>
    </w:p>
    <w:p>
      <w:r>
        <w:rPr>
          <w:color w:val="555555"/>
          <w:sz w:val="17"/>
        </w:rPr>
        <w:t xml:space="preserve">Zitiervorschlag: § 1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