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14d KrPflHilfeAPrV (Brandenburg) — Besondere Verfahrensvorschriften für die Prüfung für Nichtschülerinnen und Nichtschüler</w:t>
      </w:r>
    </w:p>
    <w:p>
      <w:r>
        <w:rPr>
          <w:color w:val="555555"/>
          <w:sz w:val="18"/>
        </w:rPr>
        <w:t xml:space="preserve">Ausbildungs- und Prüfungsverordnung für den Beruf der Gesundheits- und Krankenpflegehelferin und des Gesundheits- und Krankenpflegehelfers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 Prüfungsbeginn sind durch die Nichtschülerin oder den Nichtschüler folgende Unterlagen in der prüfenden Schule vorzulegen:</w:t>
      </w:r>
    </w:p>
    <w:p>
      <w:r>
        <w:t xml:space="preserve">der Zulassungsbescheid,</w:t>
      </w:r>
    </w:p>
    <w:p>
      <w:r>
        <w:t xml:space="preserve">ein Identitätsnachweis in amtlich beglaubigter Abschrift,</w:t>
      </w:r>
    </w:p>
    <w:p>
      <w:r>
        <w:t xml:space="preserve">ein Nachweis über die bezahlten Prüfungskosten nach § 14b Absatz 4,</w:t>
      </w:r>
    </w:p>
    <w:p>
      <w:r>
        <w:t xml:space="preserve">im Falle einer Nichtschülerprüfung nach § 14b Absatz 5 die Urkunde über die Erlaubnis zum Führen der Berufsbezeichnung.</w:t>
      </w:r>
    </w:p>
    <w:p>
      <w:r>
        <w:t xml:space="preserve">Nur bei vollständiger Vorlage vorbezeichneter Nachweise besteht das Recht auf Teilnahme an der Prüfung. Der Identitätsnachweis ist auf Anforderung vor jedem Prüfungsteil vorzuzeigen.</w:t>
      </w:r>
    </w:p>
    <w:p>
      <w:r>
        <w:t xml:space="preserve">(2) Bei Bestehen der staatlichen Prüfung wird hierüber ein Zeugnis und bei Nichtbestehen eine schriftliche Mitteilung nach § 8 Absatz 2 erteilt. Das Zeugnis oder die schriftliche Mitteilung sind zusätzlich mit einem geeigneten Vermerk zu versehen, der auf die Prüfung als Nichtschülerin oder Nichtschüler hinweist.</w:t>
      </w:r>
    </w:p>
    <w:p>
      <w:r>
        <w:t xml:space="preserve">(3) Im Übrigen sind die Regelungen dieser Verordnung für Schülerinnen und Schüler auf Nichtschülerinnen und Nichtschüler entsprechend anzuwenden.</w:t>
      </w:r>
    </w:p>
    <w:p>
      <w:r>
        <w:rPr>
          <w:color w:val="555555"/>
          <w:sz w:val="17"/>
        </w:rPr>
        <w:t xml:space="preserve">Zitiervorschlag: § 14d KrPflHilfeAPrV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https://recht.nulegal.eu/gesetze/KrPflHilfeAPrV/14d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