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KrPflG 2004 — Weitergeltung der Erlaubnis zur Führung der Berufsbezeichnungen</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Eine vor Inkrafttreten dieses Gesetzes erteilte Erlaubnis als "Krankenschwester" oder "Krankenpfleger" oder als "Kinderkrankenschwester" oder "Kinderkrankenpfleger" oder eine einer solchen Erlaubnis durch das Krankenpflegegesetz vom 4. Juni 1985 (BGBl. I S. 893), zuletzt geändert durch Artikel 20 des Gesetzes vom 27. April 2002 (BGBl. I S. 1467), gleichgestellte staatliche Anerkennung als "Krankenschwester" oder "Krankenpfleger" oder "Kinderkrankenschwester" oder "Kinderkrankenpfleger" nach den Vorschriften der Deutschen Demokratischen Republik gilt als Erlaubnis nach § 1 Abs. 1 Nr. 1 oder 2.</w:t>
      </w:r>
    </w:p>
    <w:p>
      <w:r>
        <w:t xml:space="preserve">(2) "Krankenschwestern", "Krankenpfleger", "Kinderkrankenschwestern", "Kinderkrankenpfleger", die eine Erlaubnis oder eine einer solchen Erlaubnis gleichgestellte staatliche Anerkennung nach dem in Absatz 1 genannten Gesetz besitzen, dürfen die Berufsbezeichnung weiterführen. Die Berufsbezeichnung "Krankenschwester", "Krankenpfleger", "Kinderkrankenschwester", "Kinderkrankenpfleger" darf nur unter den Voraussetzungen des Satzes 1 geführt werden.</w:t>
      </w:r>
    </w:p>
    <w:p>
      <w:r>
        <w:t xml:space="preserve">(3) Eine vor Inkrafttreten dieses Gesetzes begonnene Ausbildung als "Krankenschwester" oder "Krankenpfleger", als "Kinderkrankenschwester" oder "Kinderkrankenpfleger" und als "Krankenpflegehelferin" oder "Krankenpflegehelfer" wird nach den bisher geltenden Vorschriften abgeschlossen. Nach Abschluss der Ausbildung in der Krankenpflege oder Kinderkrankenpflege erhält die Antragstellerin oder der Antragsteller, wenn die Voraussetzungen des § 2 Abs. 1 Nr. 2 und 3 vorliegen, eine Erlaubnis nach § 1 Abs. 1 Nr. 1 oder 2. Nach Abschluss der Ausbildung in der Krankenpflegehilfe erhält die Antragstellerin oder der Antragsteller, wenn die Voraussetzungen des § 2 Abs. 1 Nr. 2 und 3 vorliegen, eine Erlaubnis nach § 1 Abs. 1 Nr. 3 des Krankenpflegegesetzes vom 4. Juni 1985 (BGBl. I S. 893), das zuletzt durch Artikel 20 des Gesetzes vom 27. April 2002 (BGBl. I S. 1467) geändert worden ist.</w:t>
      </w:r>
    </w:p>
    <w:p>
      <w:r>
        <w:rPr>
          <w:color w:val="555555"/>
          <w:sz w:val="17"/>
        </w:rPr>
        <w:t xml:space="preserve">Zitiervorschlag: § 23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KrPflG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