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KrPflG 2004 — Ordnungswidrigkeiten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Abs. 1 eine der folgenden Berufsbezeichnungen führt:</w:t>
      </w:r>
    </w:p>
    <w:p>
      <w:pPr>
        <w:ind w:left="780"/>
      </w:pPr>
      <w:r>
        <w:t xml:space="preserve">a) "Gesundheits- und Krankenpflegerin" oder "Gesundheits- und Krankenpfleger" oder</w:t>
      </w:r>
    </w:p>
    <w:p>
      <w:pPr>
        <w:ind w:left="780"/>
      </w:pPr>
      <w:r>
        <w:t xml:space="preserve">b) "Gesundheits- und Kinderkrankenpflegerin" oder "Gesundheits- und Kinderkrankenpfleger" oder</w:t>
      </w:r>
    </w:p>
    <w:p>
      <w:pPr>
        <w:ind w:left="420"/>
      </w:pPr>
      <w:r>
        <w:t xml:space="preserve">2. entgegen § 23 Abs. 2 Satz 2 die Berufsbezeichnung</w:t>
      </w:r>
    </w:p>
    <w:p>
      <w:pPr>
        <w:ind w:left="780"/>
      </w:pPr>
      <w:r>
        <w:t xml:space="preserve">a) "Krankenschwester" oder "Krankenpfleger",</w:t>
      </w:r>
    </w:p>
    <w:p>
      <w:pPr>
        <w:ind w:left="780"/>
      </w:pPr>
      <w:r>
        <w:t xml:space="preserve">b) "Kinderkrankenschwester" oder "Kinderkrankenpfleger"</w:t>
      </w:r>
    </w:p>
    <w:p>
      <w:pPr>
        <w:ind w:left="420"/>
      </w:pPr>
      <w:r>
        <w:t xml:space="preserve">führt.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21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