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KrPflG 2004 — Aufgaben der zuständigen Behörden</w:t>
      </w:r>
    </w:p>
    <w:p>
      <w:r>
        <w:rPr>
          <w:color w:val="555555"/>
          <w:sz w:val="18"/>
        </w:rPr>
        <w:t xml:space="preserve">Krankenpflegegesetz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(1) Die Entscheidungen nach § 2 Abs. 1 trifft die zuständige Behörde des Landes, in dem die Antragstellerin oder der Antragsteller die Prüfung abgelegt hat.</w:t>
      </w:r>
    </w:p>
    <w:p>
      <w:r>
        <w:t xml:space="preserve">(2) Die Entscheidungen nach den §§ 6 und 7 trifft die zuständige Behörde des Landes, in dem die Ausbildung durchgeführt wird oder dem Antrag entsprechend durchgeführt werden soll.</w:t>
      </w:r>
    </w:p>
    <w:p>
      <w:r>
        <w:t xml:space="preserve">(2a) Die Meldung nach § 19 Abs. 3 und 4 nimmt die zuständige Behörde des Landes entgegen, in dem die Dienstleistung erbracht werden soll oder erbracht worden ist. Sie fordert die Informationen nach § 19a Satz 1 an. Die Informationen nach § 19a Satz 2 werden durch die zuständige Behörde des Landes übermittelt, in dem der Beruf des Gesundheits- und Krankenpflegers oder des Gesundheits- und Kinderkrankenpflegers ausgeübt wird oder zuletzt ausgeübt worden ist. Die Unterrichtung des Herkunftsmitgliedstaats gemäß § 19b erfolgt durch die zuständige Behörde des Landes, in dem die Dienstleistung erbracht wird oder erbracht worden ist. Die Bescheinigungen nach § 19a Abs. 5 stellt die zuständige Behörde des Landes aus, in dem der Antragsteller den Beruf des Gesundheits- und Krankenpflegers oder des Gesundheits- und Kinderkrankenpflegers ausübt.</w:t>
      </w:r>
    </w:p>
    <w:p>
      <w:r>
        <w:t xml:space="preserve">(3) Die Länder bestimmen die zur Durchführung dieses Gesetzes zuständigen Behörden.</w:t>
      </w:r>
    </w:p>
    <w:p>
      <w:r>
        <w:rPr>
          <w:color w:val="555555"/>
          <w:sz w:val="17"/>
        </w:rPr>
        <w:t xml:space="preserve">Zitiervorschlag: § 20 KrPflG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https://recht.nulegal.eu/gesetze/KrPflG%202004/20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