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18a KrPflG 2004 — Modellvorhaben nach § 4 Abs. 7</w:t>
      </w:r>
    </w:p>
    <w:p>
      <w:r>
        <w:rPr>
          <w:color w:val="555555"/>
          <w:sz w:val="18"/>
        </w:rPr>
        <w:t xml:space="preserve">Krankenpflegegesetz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(1) Die §§ 9 bis 17 finden keine Anwendung auf Ausbildungsteilnehmerinnen und Ausbildungsteilnehmer, die im Rahmen von Modellvorhaben nach § 4 Abs. 7 die Ausbildung an einer Hochschule ableisten.</w:t>
      </w:r>
    </w:p>
    <w:p>
      <w:r>
        <w:t xml:space="preserve">(2) § 10 Abs. 1 Nr. 2 sowie § 12 Abs. 1 und 3 finden keine Anwendung auf Ausbildungsteilnehmerinnen und Ausbildungsteilnehmer, die im Rahmen von Modellvorhaben nach § 4 Abs. 7 die Ausbildung an einer Schule ableisten, soweit die nach § 4 Abs. 1 Satz 1 vorgesehene Ausbildungsdauer überschritten ist.</w:t>
      </w:r>
    </w:p>
    <w:p>
      <w:r>
        <w:rPr>
          <w:color w:val="555555"/>
          <w:sz w:val="17"/>
        </w:rPr>
        <w:t xml:space="preserve">Zitiervorschlag: § 18a KrPflG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https://recht.nulegal.eu/gesetze/KrPflG%202004/18a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18a KrPflG 2004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