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KrPflG 2004 — Beschäftigung im Anschluss an das Ausbildungsverhältnis</w:t>
      </w:r>
    </w:p>
    <w:p>
      <w:r>
        <w:rPr>
          <w:color w:val="555555"/>
          <w:sz w:val="18"/>
        </w:rPr>
        <w:t xml:space="preserve">Krankenpflegegesetz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Werden die Schülerin und der Schüler im Anschluss an das Ausbildungsverhältnis beschäftigt, ohne dass hierüber ausdrücklich etwas vereinbart worden ist, so gilt ein Arbeitsverhältnis auf unbestimmte Zeit als begründet.</w:t>
      </w:r>
    </w:p>
    <w:p>
      <w:r>
        <w:rPr>
          <w:color w:val="555555"/>
          <w:sz w:val="17"/>
        </w:rPr>
        <w:t xml:space="preserve">Zitiervorschlag: § 16 KrPflG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https://recht.nulegal.eu/gesetze/KrPflG%202004/16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