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20b KrPflAPrV 2004 — Anerkennungsregelungen für Ausbildungsnachweise aus einem Drittstaat</w:t>
      </w:r>
    </w:p>
    <w:p>
      <w:r>
        <w:rPr>
          <w:color w:val="555555"/>
          <w:sz w:val="18"/>
        </w:rPr>
        <w:t xml:space="preserve">Ausbildungs- und Prüfungsverordnung für die Berufe in der Krankenpflege</w:t>
      </w:r>
    </w:p>
    <w:p>
      <w:r>
        <w:rPr>
          <w:color w:val="555555"/>
          <w:sz w:val="18"/>
        </w:rPr>
        <w:t xml:space="preserve">Historische Fassung: Stand 10.06.2019 bis 02.01.2020. Dies ist nicht die aktuelle Fassung.</w:t>
      </w:r>
    </w:p>
    <w:p>
      <w:r>
        <w:t xml:space="preserve">(1) Antragsteller, die eine Erlaubnis nach § 1 Absatz 1 Satz 1 Nummer 1 oder Nummer 2 des Krankenpflegegesetzes beantragen, haben einen Anpassungslehrgang nach Absatz 2 zu absolvieren, der mit einer Prüfung über den Inhalt des Anpassungslehrgangs abschließt, oder eine Kenntnisprüfung nach Absatz 3 abzulegen, wenn sie über einen Ausbildungsnachweis verfügen, der in einem Drittstaat erworben worden ist und ihre Ausbildung wesentliche Unterschiede zu der deutschen Ausbildung aufweist, die von der zuständigen Behörde im Rahmen der Prüfung ihres Antrags auf Erteilung der Erlaubnis zur Führung der Berufsbezeichnung festgestellt worden sind und nicht durch Kenntnisse und Fähigkeiten ausgeglichen werden konnten, die die Antragsteller im Rahmen ihrer nachgewiesenen Berufspraxis oder durch lebenslanges Lernen nach § 2 Absatz 3a des Krankenpflegegesetzes in Verbindung mit § 2 Absatz 3 Satz 3 des Krankenpflegegesetzes oder nach § 2 Absatz 5 Satz 7 des Krankenpflegegesetzes erworben haben. Satz 1 gilt entsprechend für Fälle, in denen eine Prüfung der Gleichwertigkeit des Ausbildungsstandes auf Grund der in § 2 Absatz 3 Satz 5 des Krankenpflegegesetzes vorliegenden Umstände nicht durchgeführt wird.</w:t>
      </w:r>
    </w:p>
    <w:p>
      <w:r>
        <w:t xml:space="preserve">(2) Der Anpassungslehrgang dient zusammen mit dem Abschlussgespräch der Feststellung, dass die Antragsteller über die zur Ausübung des Berufs des Gesundheits- und Krankenpflegers oder des Berufs des Gesundheits- und Kinderkrankenpflegers erforderlichen Kenntnisse und Fähigkeiten verfügen (Lehrgangsziel). Er wird entsprechend dem Lehrgangsziel in Form von theoretischem und praktischem Unterricht, einer praktischen Ausbildung mit theoretischer Unterweisung oder beidem an Einrichtungen nach § 4 Absatz 2 Satz 1 oder Satz 3 des Krankenpflegegesetzes oder an von der zuständigen Behörde als vergleichbar anerkannten Einrichtungen durchgeführt und schließt mit einer Prüfung über den Inhalt des Anpassungslehrgangs ab. An der theoretischen Unterweisung sollen Praxisanleiter, die die Voraussetzungen nach § 2 Absatz 2 Satz 4 oder Satz 6 erfüllen, in angemessenem Umfang beteiligt werden. Die zuständige Behörde legt die Dauer und die Inhalte des Anpassungslehrgangs so fest, dass das Lehrgangsziel erreicht werden kann. Die erfolgreiche Ableistung des Anpassungslehrgangs ist durch eine Bescheinigung nach dem Muster der Anlage 7 nachzuweisen. Die Bescheinigung wird erteilt, wenn in der Prüfung, die in Form eines Abschlussgesprächs durchgeführt wird, festgestellt worden ist, dass die Antragsteller das Lehrgangsziel erreicht haben. Das Abschlussgespräch wird von einem Fachprüfer nach § 4 Absatz 1 Satz 1 Nummer 3 gemeinsam mit der Lehrkraft oder dem Praxisanleiter nach Satz 3, die die Antragsteller während des Lehrgangs mit betreut hat, geführt. Ergibt sich in dem Abschlussgespräch, dass die Antragsteller den Anpassungslehrgang nicht erfolgreich abgeleistet haben, entscheidet der Fachprüfer nach § 4 Absatz 1 Satz 1 Nummer 3 im Benehmen mit der an dem Gespräch teilnehmenden Lehrkraft oder dem Praxisanleiter über eine angemessene Verlängerung des Anpassungslehrgangs. Eine Verlängerung ist nur einmal zulässig. Der Verlängerung folgt ein weiteres Abschlussgespräch. Kann auch nach dem Ergebnis dieses Gesprächs die Bescheinigung nach Satz 5 nicht erteilt werden, darf der Anpassungslehrgang nur einmal wiederholt werden.</w:t>
      </w:r>
    </w:p>
    <w:p>
      <w:r>
        <w:t xml:space="preserve">(3) Bei der Kenntnisprüfung haben die Antragsteller nachzuweisen, dass sie über die zur Ausübung des Berufs des Gesundheits- und Krankenpflegers oder des Berufs des Gesundheits- und Kinderkrankenpflegers erforderlichen Kompetenzen verfügen. Die Kenntnisprüfung umfasst jeweils einen mündlichen und praktischen Teil. Sie ist erfolgreich abgeschlossen, wenn jeder der beiden Prüfungsteile bestanden ist.</w:t>
      </w:r>
    </w:p>
    <w:p>
      <w:r>
        <w:t xml:space="preserve">(4) Der mündliche Teil der Kenntnisprüfung erstreckt sich auf die Themenbereiche 3 und 8 der Anlage 1 Buchstabe A sowie folgende Auszüge aus den Themenbereichen 7, 10 und 12:</w:t>
      </w:r>
    </w:p>
    <w:p>
      <w:pPr>
        <w:ind w:left="420"/>
      </w:pPr>
      <w:r>
        <w:t xml:space="preserve">1. rechtliche Rahmenbedingungen reflektieren und diese bei ihrem Pflegehandeln berücksichtigen,</w:t>
      </w:r>
    </w:p>
    <w:p>
      <w:pPr>
        <w:ind w:left="420"/>
      </w:pPr>
      <w:r>
        <w:t xml:space="preserve">2. mit Krisen- und Konfliktsituationen konstruktiv umgehen,</w:t>
      </w:r>
    </w:p>
    <w:p>
      <w:pPr>
        <w:ind w:left="420"/>
      </w:pPr>
      <w:r>
        <w:t xml:space="preserve">3. pflegerische Erfordernisse in einem intra- sowie in einem interdisziplinären Team zu erklären, angemessen und sicher zu vertreten sowie an der Aushandlung gemeinsamer Behandlungs- und Betreuungskonzepte mitzuwirken sowie</w:t>
      </w:r>
    </w:p>
    <w:p>
      <w:pPr>
        <w:ind w:left="420"/>
      </w:pPr>
      <w:r>
        <w:t xml:space="preserve">4. die Grenzen des eigenen Verantwortungsbereichs zu beachten und im Bedarfsfall die Unterstützung und Mitwirkung durch andere Experten im Gesundheitswesen einzufordern und zu organisieren.</w:t>
      </w:r>
    </w:p>
    <w:p>
      <w:r>
        <w:t xml:space="preserve">Der mündliche Teil der Prüfung soll für den einzelnen Prüfling mindestens 15 und nicht länger als 60 Minuten dauern. Er wird von zwei Fachprüfern, von denen eine Person die Voraussetzungen des § 4 Absatz 1 Nummer 3 Buchstabe b erfüllen muss, abgenommen und bewertet. Der mündliche Teil der Kenntnisprüfung ist erfolgreich abgeschlossen, wenn die Fachprüfer in einer Gesamtbetrachtung die in Satz 1 genannten Themenbereiche 3 und 8 der Anlage 1 Buchstabe A und die in Satz 1 Nummer 1 bis 4 aufgelisteten Auszüge aus den Themenbereichen 7, 10 und 12 der Anlage 1 Buchstabe A übereinstimmend mit „bestanden“ bewerten. § 20a Absatz 3 Satz 9 gilt entsprechend. Kommen die Fachprüfer zu einer unterschiedlichen Bewertung, entscheidet der Vorsitzende des Prüfungsausschusses nach Rücksprache mit den Fachprüfern über das Bestehen.</w:t>
      </w:r>
    </w:p>
    <w:p>
      <w:r>
        <w:t xml:space="preserve">(5) Für den praktischen Teil der Kenntnisprüfung gilt § 20a Absatz 3 Satz 2 bis 10 entsprechend.</w:t>
      </w:r>
    </w:p>
    <w:p>
      <w:r>
        <w:t xml:space="preserve">(6) Die Kenntnisprüfung soll mindestens zweimal jährlich angeboten werden und darf im mündlichen Teil sowie in jeder Pflegesituation des praktischen Teils, die nicht bestanden wurde, einmal wiederholt werden.</w:t>
      </w:r>
    </w:p>
    <w:p>
      <w:r>
        <w:t xml:space="preserve">(7) Über die bestandene Kenntnisprüfung wird eine Bescheinigung nach dem Muster der Anlage 8 erteilt.</w:t>
      </w:r>
    </w:p>
    <w:p>
      <w:r>
        <w:rPr>
          <w:color w:val="555555"/>
          <w:sz w:val="17"/>
        </w:rPr>
        <w:t xml:space="preserve">Zitiervorschlag: § 20b KrPflAPrV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https://recht.nulegal.eu/gesetze/KrPflAPrV%202004/20b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