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KrPflAPrV 2004 — Erlaubnisurkunden</w:t>
      </w:r>
    </w:p>
    <w:p>
      <w:r>
        <w:rPr>
          <w:color w:val="555555"/>
          <w:sz w:val="18"/>
        </w:rPr>
        <w:t xml:space="preserve">Ausbildungs- und Prüfungsverordnung für die Berufe in der Krankenpflege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Liegen die Voraussetzungen nach § 2 des Krankenpflegegesetzes für die Erteilung der Erlaubnis zur Führung der Berufsbezeichnung nach § 1 Absatz 1 Satz 1 Nummer 1 oder 2 dieses Gesetzes vor, so stellt die zuständige Behörde die Erlaubnisurkunde nach dem Muster der Anlage 4 aus.</w:t>
      </w:r>
    </w:p>
    <w:p>
      <w:r>
        <w:rPr>
          <w:color w:val="555555"/>
          <w:sz w:val="17"/>
        </w:rPr>
        <w:t xml:space="preserve">Zitiervorschlag: § 19 KrPflAPrV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https://recht.nulegal.eu/gesetze/KrPflAPrV%202004/19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KrPflAPrV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