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 KrPflAPrV 2004 — Praktischer Teil der Prüfung</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(1) Der praktische Tei der Prüfung erstreckt sich auf die Pflege bei einer Patientengruppe von höchstens vier Kindern oder Jugendlichen. Der Prüfling übernimmt in dem Fachgebiet seines Differenzierungsbereichs nach Anlage 1 Buchstabe B, in dem er zur Zeit der Prüfung an der praktischen Ausbildung teilnimmt, alle anfallenden Aufgaben einer prozessorientierten Pflege einschließlich der Dokumentation und Übergabe. In einem Prüfungsgespräch hat der Prüfling sein Pflegehandeln zu erläutern und zu begründen sowie die Prüfungssituation zu reflektieren. Dabei hat er nachzuweisen, dass er in der Lage ist, die während der Ausbildung erworbenen Kompetenzen in der beruflichen Praxis anzuwenden sowie befähigt ist, die Aufgaben in der Gesundheits- und Kinderkrankenpflege gemäß § 3 Abs. 1 des Krankenpflegegesetzes eigenverantwortlich auszuführen.</w:t>
      </w:r>
    </w:p>
    <w:p>
      <w:r>
        <w:t xml:space="preserve">(2) § 15 Abs. 2 und 3 gilt entsprechend.</w:t>
      </w:r>
    </w:p>
    <w:p>
      <w:r>
        <w:rPr>
          <w:color w:val="555555"/>
          <w:sz w:val="17"/>
        </w:rPr>
        <w:t xml:space="preserve">Zitiervorschlag: § 18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 KrPflAPrV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