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17 KrPflAPrV 2004 — Mündlicher Teil der Prüfung</w:t>
      </w:r>
    </w:p>
    <w:p>
      <w:r>
        <w:rPr>
          <w:color w:val="555555"/>
          <w:sz w:val="18"/>
        </w:rPr>
        <w:t xml:space="preserve">Ausbildungs- und Prüfungsverordnung für die Berufe in der Krankenpflege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Der mündliche Teil der Prüfung erstreckt sich auf die folgenden Themenbereiche der Anlage 1 Buchstabe A:</w:t>
      </w:r>
    </w:p>
    <w:p>
      <w:pPr>
        <w:ind w:left="420"/>
      </w:pPr>
      <w:r>
        <w:t xml:space="preserve">1. Unterstützung, Beratung und Anleitung in gesundheits- und pflegerelevanten Fragen fachkundig gewährleisten,</w:t>
      </w:r>
    </w:p>
    <w:p>
      <w:pPr>
        <w:ind w:left="420"/>
      </w:pPr>
      <w:r>
        <w:t xml:space="preserve">2. berufliches Selbstverständnis entwickeln und lernen, berufliche Anforderungen zu bewältigen,</w:t>
      </w:r>
    </w:p>
    <w:p>
      <w:pPr>
        <w:ind w:left="420"/>
      </w:pPr>
      <w:r>
        <w:t xml:space="preserve">3. bei der medizinischen Diagnostik und Therapie mitwirken und in Gruppen und Teams zusammenarbeiten.</w:t>
      </w:r>
    </w:p>
    <w:p>
      <w:r>
        <w:t xml:space="preserve">In der mündlichen Prüfung hat der Prüfling anwendungsbereite berufliche Kompetenzen nachzuweisen. In die Prüfung sind dabei die Differenzierungsphase in der Gesundheits- und Kinderkrankenpflege sowie die in Anlage 1 Buchstabe A genannten Wissensgrundlagen einzubeziehen.</w:t>
      </w:r>
    </w:p>
    <w:p>
      <w:r>
        <w:t xml:space="preserve">(2) § 14 Abs. 2 bis 4 gilt entsprechend.</w:t>
      </w:r>
    </w:p>
    <w:p>
      <w:r>
        <w:rPr>
          <w:color w:val="555555"/>
          <w:sz w:val="17"/>
        </w:rPr>
        <w:t xml:space="preserve">Zitiervorschlag: § 17 KrPflAPrV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https://recht.nulegal.eu/gesetze/KrPflAPrV%202004/17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17 KrPflAPrV 2004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