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KrPflAPrV 2004 — Versäumnisfolgen</w:t>
      </w:r>
    </w:p>
    <w:p>
      <w:r>
        <w:rPr>
          <w:color w:val="555555"/>
          <w:sz w:val="18"/>
        </w:rPr>
        <w:t xml:space="preserve">Ausbildungs- und Prüfungsverordnung für die Berufe in der Krankenpflege</w:t>
      </w:r>
    </w:p>
    <w:p>
      <w:r>
        <w:rPr>
          <w:color w:val="555555"/>
          <w:sz w:val="18"/>
        </w:rPr>
        <w:t xml:space="preserve">Historische Fassung: Stand 10.06.2019 bis 02.01.2020. Dies ist nicht die aktuelle Fassung.</w:t>
      </w:r>
    </w:p>
    <w:p>
      <w:r>
        <w:t xml:space="preserve">(1) Versäumt ein Prüfling einen Prüfungstermin, gibt er eine Aufsichtsarbeit nicht oder nicht rechtzeitig ab oder unterbricht er die Prüfung, so gilt die Prüfung als nicht bestanden, wenn nicht ein wichtiger Grund vorliegt; § 8 Abs. 3 gilt entsprechend. Liegt ein wichtiger Grund vor, so gilt die Prüfung oder der betreffende Teil der Prüfung als nicht unternommen.</w:t>
      </w:r>
    </w:p>
    <w:p>
      <w:r>
        <w:t xml:space="preserve">(2) Die Entscheidung darüber, ob ein wichtiger Grund vorliegt, trifft die oder der Vorsitzende des Prüfungsausschusses. § 9 Abs. 1 Satz 1 und 4 gilt entsprechend.</w:t>
      </w:r>
    </w:p>
    <w:p>
      <w:r>
        <w:rPr>
          <w:color w:val="555555"/>
          <w:sz w:val="17"/>
        </w:rPr>
        <w:t xml:space="preserve">Zitiervorschlag: § 10 KrPflAPrV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https://recht.nulegal.eu/gesetze/KrPflAPrV%202004/10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