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KrPflAPrV 2004 — Gliederung der Ausbildung</w:t>
      </w:r>
    </w:p>
    <w:p>
      <w:r>
        <w:rPr>
          <w:color w:val="555555"/>
          <w:sz w:val="18"/>
        </w:rPr>
        <w:t xml:space="preserve">Ausbildungs- und Prüfungsverordnung für die Berufe in der Krankenpflege</w:t>
      </w:r>
    </w:p>
    <w:p>
      <w:r>
        <w:rPr>
          <w:color w:val="555555"/>
          <w:sz w:val="18"/>
        </w:rPr>
        <w:t xml:space="preserve">Historische Fassung: Stand 10.06.2019 bis 02.01.2020. Dies ist nicht die aktuelle Fassung.</w:t>
      </w:r>
    </w:p>
    <w:p>
      <w:r>
        <w:t xml:space="preserve">(1) Die Ausbildungen in der Gesundheits- und Krankenpflege und in der Gesundheits- und Kinderkrankenpflege umfassen mindestens den in der Anlage 1 aufgeführten theoretischen und praktischen Unterricht von 2 100 Stunden und die aufgeführte praktische Ausbildung von 2 500 Stunden. Die Ausbildung beinhaltet eine 1 200 Stunden umfassende Differenzierungsphase im Unterricht und in der praktischen Ausbildung, die sich auf die für die Gesundheits- und Krankenpflege oder Gesundheits- und Kinderkrankenpflege zu vermittelnden Kompetenzen erstreckt.</w:t>
      </w:r>
    </w:p>
    <w:p>
      <w:r>
        <w:t xml:space="preserve">(2) Im Unterricht muss den Schülerinnen und Schülern ausreichende Möglichkeit gegeben werden, die erforderlichen praktischen Fähigkeiten und Fertigkeiten zu entwickeln und einzuüben.</w:t>
      </w:r>
    </w:p>
    <w:p>
      <w:r>
        <w:t xml:space="preserve">(3) Ab der zweiten Hälfte der Ausbildungszeit sind unter Aufsicht von Inhabern einer Erlaubnis nach § 1 Absatz 1 Satz 1 Nummer 1 oder 2 des Krankenpflegegesetzes mindestens 80, höchstens 120 Stunden im Rahmen des Nachtdienstes abzuleisten.</w:t>
      </w:r>
    </w:p>
    <w:p>
      <w:r>
        <w:t xml:space="preserve">(4) Die regelmäßige und erfolgreiche Teilnahme an den Ausbildungsveranstaltungen nach Absatz 1 ist durch eine Bescheinigung nach dem Muster der Anlage 2 nachzuweisen.</w:t>
      </w:r>
    </w:p>
    <w:p>
      <w:r>
        <w:rPr>
          <w:color w:val="555555"/>
          <w:sz w:val="17"/>
        </w:rPr>
        <w:t xml:space="preserve">Zitiervorschlag: § 1 KrPflAPrV 2004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https://recht.nulegal.eu/gesetze/KrPflAPrV%202004/1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