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KrFrHemmGErgG</w:t>
      </w:r>
    </w:p>
    <w:p>
      <w:r>
        <w:rPr>
          <w:color w:val="555555"/>
          <w:sz w:val="18"/>
        </w:rPr>
        <w:t xml:space="preserve">Gesetz zur Ergänzung des Gesetzes über den Ablauf der durch Kriegs- oder Nachkriegsvorschriften gehemmten Fristen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mit Wirkung vom 31. März 1951 in Kraft.</w:t>
      </w:r>
    </w:p>
    <w:p>
      <w:r>
        <w:rPr>
          <w:color w:val="555555"/>
          <w:sz w:val="17"/>
        </w:rPr>
        <w:t xml:space="preserve">Zitiervorschlag: § 4 KrFrHemmGErgG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https://recht.nulegal.eu/gesetze/KrFrHemmGErgG/4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KrFrHemmGErgG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