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KrFArbZG — Aufzeichnungspflicht</w:t>
      </w:r>
    </w:p>
    <w:p>
      <w:r>
        <w:rPr>
          <w:color w:val="555555"/>
          <w:sz w:val="18"/>
        </w:rPr>
        <w:t xml:space="preserve">Gesetz zur Regelung der Arbeitszeit von selbständigen Kraftfahrern</w:t>
      </w:r>
    </w:p>
    <w:p>
      <w:r>
        <w:rPr>
          <w:color w:val="555555"/>
          <w:sz w:val="18"/>
        </w:rPr>
        <w:t xml:space="preserve">Stand: 10.06.2019 (konsolidierte Textfassung, kein amtliches Inkrafttretensdatum)</w:t>
      </w:r>
    </w:p>
    <w:p>
      <w:r>
        <w:t xml:space="preserve">Der selbständige Kraftfahrer ist verpflichtet, seine Arbeitszeit täglich aufzuzeichnen, soweit sie nicht durch einen Fahrtenschreiber nach der Verordnung (EU) Nr. 165/2014 des Europäischen Parlaments und des Rates vom 4. Februar 2014 über Fahrtenschreiber im Straßenverkehr, zur Aufhebung der Verordnung (EWG) Nr. 3821/85 des Rates über das Kontrollgerät im Straßenverkehr und zur Änderung der Verordnung (EG) Nr. 561/2006 des Europäischen Parlaments und des Rates zur Harmonisierung bestimmter Sozialvorschriften im Straßenverkehr (ABl. L 60 vom 28.2.2014, S. 1) aufgezeichnet wird. Die Aufzeichnungspflicht gilt nicht für allgemeine administrative Tätigkeiten, die keinen direkten Zusammenhang mit der gerade ausgeführten spezifischen Transporttätigkeit aufweisen. Die Aufzeichnungen sind ab Erstellung mindestens zwei Jahre aufzubewahren.</w:t>
      </w:r>
    </w:p>
    <w:p>
      <w:r>
        <w:rPr>
          <w:color w:val="555555"/>
          <w:sz w:val="17"/>
        </w:rPr>
        <w:t xml:space="preserve">Zitiervorschlag: § 6 KrFArbZG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https://recht.nulegal.eu/gesetze/KrFArbZG/6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