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KrFArbZG — Ruhezeiten</w:t>
      </w:r>
    </w:p>
    <w:p>
      <w:r>
        <w:rPr>
          <w:color w:val="555555"/>
          <w:sz w:val="18"/>
        </w:rPr>
        <w:t xml:space="preserve">Gesetz zur Regelung der Arbeitszeit von selbständigen Kraftfahrern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täglichen und wöchentlichen Ruhezeiten bestimmen sich nach den Vorschriften der Europäischen Gemeinschaften für Kraftfahrer sowie nach dem AETR.</w:t>
      </w:r>
    </w:p>
    <w:p>
      <w:r>
        <w:rPr>
          <w:color w:val="555555"/>
          <w:sz w:val="17"/>
        </w:rPr>
        <w:t xml:space="preserve">Zitiervorschlag: § 4 KrFArbZG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https://recht.nulegal.eu/gesetze/KrFArbZG/4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