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KrFArbZG — Anwendungsbereich</w:t>
      </w:r>
    </w:p>
    <w:p>
      <w:r>
        <w:rPr>
          <w:color w:val="555555"/>
          <w:sz w:val="18"/>
        </w:rPr>
        <w:t xml:space="preserve">Gesetz zur Regelung der Arbeitszeit von selbständigen Kraftfahrern</w:t>
      </w:r>
    </w:p>
    <w:p>
      <w:r>
        <w:rPr>
          <w:color w:val="555555"/>
          <w:sz w:val="18"/>
        </w:rPr>
        <w:t xml:space="preserve">Stand: 10.06.2019 (konsolidierte Textfassung, kein amtliches Inkrafttretensdatum)</w:t>
      </w:r>
    </w:p>
    <w:p>
      <w:r>
        <w:t xml:space="preserve">Dieses Gesetz regelt die Arbeitszeit von selbständigen Kraftfahrern im Sinne von Artikel 3 Buchstabe e der Richtlinie 2002/15/EG des Europäischen Parlaments und des Rates vom 11. März 2002 zur Regelung der Arbeitszeit von Personen, die hauptsächlich Fahrtätigkeiten im Bereich des Straßentransports ausüben (ABl. L 80 vom 23.3.2002, S. 35) bei Beförderungen im Straßenverkehr im Sinne der Verordnung (EG) Nr. 561/2006 des Europäischen Parlaments und des Rates vom 15. März 2006 zur Harmonisierung bestimmter Sozialvorschriften im Straßenverkehr und zur Änderung der Verordnungen (EWG) Nr. 3821/85 und (EG) Nr. 2135/98 des Rates sowie zur Aufhebung der Verordnung (EWG) Nr. 3820/85 des Rates (ABl. L 102 vom 11.4.2006, S. 1) oder des Europäischen Übereinkommens vom 1. Juli 1970 über die Arbeit des im internationalen Straßenverkehr beschäftigten Fahrpersonals (AETR) (BGBl. 1974 II S. 1473, 1475). Die Vorschriften der Verordnung (EG) Nr. 561/2006 und des AETR bleiben unberührt.</w:t>
      </w:r>
    </w:p>
    <w:p>
      <w:r>
        <w:rPr>
          <w:color w:val="555555"/>
          <w:sz w:val="17"/>
        </w:rPr>
        <w:t xml:space="preserve">Zitiervorschlag: § 1 KrFArbZG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https://recht.nulegal.eu/gesetze/KrFArbZG/1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