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KrArchG — Inkrafttreten</w:t>
      </w:r>
    </w:p>
    <w:p>
      <w:r>
        <w:rPr>
          <w:color w:val="555555"/>
          <w:sz w:val="18"/>
        </w:rPr>
        <w:t xml:space="preserve">Gesetz über die zentrale Archivierung von Unterlagen aus dem Bereich des Kriegsfolgenrechts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4 KrArchG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https://recht.nulegal.eu/gesetze/KrArchG/4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