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KrArchG — Übernahme von Unterlagen der Heimatortskarteien</w:t>
      </w:r>
    </w:p>
    <w:p>
      <w:r>
        <w:rPr>
          <w:color w:val="555555"/>
          <w:sz w:val="18"/>
        </w:rPr>
        <w:t xml:space="preserve">Gesetz über die zentrale Archivierung von Unterlagen aus dem Bereich des Kriegsfolgenrechts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Lastenausgleichsarchiv übernimmt die Unterlagen der Heimatortskarteien des Kirchlichen Suchdienstes.</w:t>
      </w:r>
    </w:p>
    <w:p>
      <w:r>
        <w:t xml:space="preserve">(2) Der Kirchliche Suchdienst übergibt die Bestände seiner Heimatortskarteien dem Lastenausgleichsarchiv, sobald die ihm von der Bundesrepublik Deutschland übertragenen Aufgaben abgeschlossen sind.</w:t>
      </w:r>
    </w:p>
    <w:p>
      <w:r>
        <w:rPr>
          <w:color w:val="555555"/>
          <w:sz w:val="17"/>
        </w:rPr>
        <w:t xml:space="preserve">Zitiervorschlag: § 2 KrArchG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https://recht.nulegal.eu/gesetze/KrArchG/2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