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KrAbfWUTechAusbV — Aufteilung in zwei Teile und Zeitpunkt</w:t>
      </w:r>
    </w:p>
    <w:p>
      <w:r>
        <w:rPr>
          <w:color w:val="555555"/>
          <w:sz w:val="18"/>
        </w:rPr>
        <w:t xml:space="preserve">Kreislauf- und Abfallwirtschaftsumwelttechnologen-Ausbildungsverordnung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soll im dritten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Abschlussprüfung spätestens vier Monate vor dem Zeitpunkt von Teil 2 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6 KrAbfWUTechAusbV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https://recht.nulegal.eu/gesetze/KrAbfWUTechAusbV/6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