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KrAbfWUTechAusbV — Gegenstand der Berufsausbildung und Ausbildungsrahmenplan</w:t>
      </w:r>
    </w:p>
    <w:p>
      <w:r>
        <w:rPr>
          <w:color w:val="555555"/>
          <w:sz w:val="18"/>
        </w:rPr>
        <w:t xml:space="preserve">Kreislauf- und Abfallwirtschaftsumwelttechnologen-Ausbildungsverordnung</w:t>
      </w:r>
    </w:p>
    <w:p>
      <w:r>
        <w:rPr>
          <w:color w:val="555555"/>
          <w:sz w:val="18"/>
        </w:rPr>
        <w:t xml:space="preserve">Stand: 01.08.2024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KrAbfWUTechAusbV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https://recht.nulegal.eu/gesetze/KrAbfWUTechAusbV/3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