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KrAbfWUTechAusbV — Befreiung von Teil 1 der Abschlussprüfung und Anrechnung von Ausbildungszeiten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 erfolgreich abgeschlossener Berufsausbildung nach § 15 Absatz 2 der Wasserversorgungsumwelttechnologen-Ausbildungsverordnung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(2) Bei erfolgreich abgeschlossener Berufsausbildung nach § 15 Absatz 2 der Abwasserbewirtschaftungsumwelttechnologen-Ausbildungsverordnung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(3) Bei erfolgreich abgeschlossener Berufsausbildung nach § 15 Absatz 2 der Rohrleitungsnetz- und Industrieanlagenumwelttechnologen-Ausbildungsverordnung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17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