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KrAbfWUTechAusbV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„Mechanisches Anpassen eines umwelttechnischen Systems“    mit 20 Prozent,</w:t>
      </w:r>
    </w:p>
    <w:p>
      <w:r>
        <w:rPr>
          <w:rFonts w:ascii="Courier New" w:hAnsi="Courier New"/>
          <w:sz w:val="17"/>
        </w:rPr>
        <w:t xml:space="preserve">„Annehmen von Abfällen und Zuführen zu Entsorgungswegen“    mit 20 Prozent,</w:t>
      </w:r>
    </w:p>
    <w:p>
      <w:r>
        <w:rPr>
          <w:rFonts w:ascii="Courier New" w:hAnsi="Courier New"/>
          <w:sz w:val="17"/>
        </w:rPr>
        <w:t xml:space="preserve">„Betreiben von Maschinen und Anlagen der Kreislauf- und Abfallwirtschaft“    mit 20 Prozent,</w:t>
      </w:r>
    </w:p>
    <w:p>
      <w:r>
        <w:rPr>
          <w:rFonts w:ascii="Courier New" w:hAnsi="Courier New"/>
          <w:sz w:val="17"/>
        </w:rPr>
        <w:t xml:space="preserve">„Sicherstellen von Prozessen der Kreislauf- und Abfallwirtschaft“    mit 30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